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7E82" w14:textId="135E8B0D" w:rsidR="003E4AF5" w:rsidRDefault="00EB7C70" w:rsidP="006D7116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>KARAKTERISTIK WANPRESTASI TERHADAP PERJANJIAN PEMBIAYAAN KONSUMEN DENGAN JAMINAN FIDUSIA</w:t>
      </w:r>
    </w:p>
    <w:p w14:paraId="35032E0B" w14:textId="43F08CC4" w:rsidR="00034112" w:rsidRPr="006D7116" w:rsidRDefault="00034112" w:rsidP="006D7116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112">
        <w:rPr>
          <w:rFonts w:ascii="Times New Roman" w:hAnsi="Times New Roman" w:cs="Times New Roman"/>
          <w:b/>
          <w:bCs/>
          <w:sz w:val="24"/>
          <w:szCs w:val="24"/>
        </w:rPr>
        <w:t>CHARACTERISTICS OF BREACH OF CONTRACT AGAINST CONSUMER FINANCING AGREEMENT WITH FIDUCIARY GUARANTEE</w:t>
      </w:r>
    </w:p>
    <w:p w14:paraId="578C6568" w14:textId="37AAB4D9" w:rsidR="00FE4D96" w:rsidRPr="00C6098A" w:rsidRDefault="006E43C8" w:rsidP="00FE4D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98A">
        <w:rPr>
          <w:rFonts w:ascii="Times New Roman" w:hAnsi="Times New Roman" w:cs="Times New Roman"/>
          <w:b/>
          <w:bCs/>
        </w:rPr>
        <w:t>A</w:t>
      </w:r>
      <w:r w:rsidR="000B6349" w:rsidRPr="00C6098A">
        <w:rPr>
          <w:rFonts w:ascii="Times New Roman" w:hAnsi="Times New Roman" w:cs="Times New Roman"/>
          <w:b/>
          <w:bCs/>
        </w:rPr>
        <w:t>dhitya</w:t>
      </w:r>
      <w:r w:rsidRPr="00C6098A">
        <w:rPr>
          <w:rFonts w:ascii="Times New Roman" w:hAnsi="Times New Roman" w:cs="Times New Roman"/>
          <w:b/>
          <w:bCs/>
        </w:rPr>
        <w:t xml:space="preserve"> R</w:t>
      </w:r>
      <w:r w:rsidR="000B6349" w:rsidRPr="00C6098A">
        <w:rPr>
          <w:rFonts w:ascii="Times New Roman" w:hAnsi="Times New Roman" w:cs="Times New Roman"/>
          <w:b/>
          <w:bCs/>
        </w:rPr>
        <w:t>izky</w:t>
      </w:r>
      <w:r w:rsidRPr="00C6098A">
        <w:rPr>
          <w:rFonts w:ascii="Times New Roman" w:hAnsi="Times New Roman" w:cs="Times New Roman"/>
          <w:b/>
          <w:bCs/>
        </w:rPr>
        <w:t xml:space="preserve"> P</w:t>
      </w:r>
      <w:r w:rsidR="000B6349" w:rsidRPr="00C6098A">
        <w:rPr>
          <w:rFonts w:ascii="Times New Roman" w:hAnsi="Times New Roman" w:cs="Times New Roman"/>
          <w:b/>
          <w:bCs/>
        </w:rPr>
        <w:t>ratama</w:t>
      </w:r>
      <w:r w:rsidR="00FE4D96" w:rsidRPr="00C6098A">
        <w:rPr>
          <w:rFonts w:ascii="Times New Roman" w:hAnsi="Times New Roman" w:cs="Times New Roman"/>
          <w:b/>
          <w:bCs/>
          <w:vertAlign w:val="superscript"/>
        </w:rPr>
        <w:t>1)</w:t>
      </w:r>
      <w:r w:rsidR="00FE4D96" w:rsidRPr="00C6098A">
        <w:rPr>
          <w:rFonts w:ascii="Times New Roman" w:hAnsi="Times New Roman" w:cs="Times New Roman"/>
          <w:b/>
          <w:bCs/>
        </w:rPr>
        <w:t>, M</w:t>
      </w:r>
      <w:r w:rsidR="00034112" w:rsidRPr="00C6098A">
        <w:rPr>
          <w:rFonts w:ascii="Times New Roman" w:hAnsi="Times New Roman" w:cs="Times New Roman"/>
          <w:b/>
          <w:bCs/>
        </w:rPr>
        <w:t>oh. Nurman</w:t>
      </w:r>
      <w:r w:rsidR="00034112" w:rsidRPr="00C6098A">
        <w:rPr>
          <w:rFonts w:ascii="Times New Roman" w:hAnsi="Times New Roman" w:cs="Times New Roman"/>
          <w:b/>
          <w:bCs/>
          <w:vertAlign w:val="superscript"/>
        </w:rPr>
        <w:t>2</w:t>
      </w:r>
      <w:r w:rsidR="00FE4D96" w:rsidRPr="00C6098A">
        <w:rPr>
          <w:rFonts w:ascii="Times New Roman" w:hAnsi="Times New Roman" w:cs="Times New Roman"/>
          <w:b/>
          <w:bCs/>
          <w:vertAlign w:val="superscript"/>
        </w:rPr>
        <w:t>)</w:t>
      </w:r>
      <w:r w:rsidR="00FE4D96" w:rsidRPr="00C6098A">
        <w:rPr>
          <w:rFonts w:ascii="Times New Roman" w:hAnsi="Times New Roman" w:cs="Times New Roman"/>
          <w:b/>
          <w:bCs/>
        </w:rPr>
        <w:t>, M</w:t>
      </w:r>
      <w:r w:rsidR="00034112" w:rsidRPr="00C6098A">
        <w:rPr>
          <w:rFonts w:ascii="Times New Roman" w:hAnsi="Times New Roman" w:cs="Times New Roman"/>
          <w:b/>
          <w:bCs/>
        </w:rPr>
        <w:t>uhammad Yusuf Ibrahim</w:t>
      </w:r>
      <w:r w:rsidR="00FE4D96" w:rsidRPr="00C6098A">
        <w:rPr>
          <w:rFonts w:ascii="Times New Roman" w:hAnsi="Times New Roman" w:cs="Times New Roman"/>
          <w:b/>
          <w:bCs/>
          <w:vertAlign w:val="superscript"/>
        </w:rPr>
        <w:t>3)</w:t>
      </w:r>
    </w:p>
    <w:p w14:paraId="6CFB7735" w14:textId="21AFC1FC" w:rsidR="00FE4D96" w:rsidRPr="00C6098A" w:rsidRDefault="00FE4D96" w:rsidP="00FE4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098A">
        <w:rPr>
          <w:rFonts w:ascii="Times New Roman" w:hAnsi="Times New Roman" w:cs="Times New Roman"/>
          <w:vertAlign w:val="superscript"/>
        </w:rPr>
        <w:t>1</w:t>
      </w:r>
      <w:hyperlink r:id="rId8" w:history="1">
        <w:r w:rsidRPr="00C6098A">
          <w:rPr>
            <w:rStyle w:val="Hyperlink"/>
            <w:rFonts w:ascii="Times New Roman" w:hAnsi="Times New Roman" w:cs="Times New Roman"/>
          </w:rPr>
          <w:t>Adhitya9098@gmail.com</w:t>
        </w:r>
      </w:hyperlink>
      <w:r w:rsidRPr="00C6098A">
        <w:rPr>
          <w:rFonts w:ascii="Times New Roman" w:hAnsi="Times New Roman" w:cs="Times New Roman"/>
        </w:rPr>
        <w:t xml:space="preserve">, </w:t>
      </w:r>
      <w:r w:rsidRPr="00C6098A">
        <w:rPr>
          <w:rFonts w:ascii="Times New Roman" w:hAnsi="Times New Roman" w:cs="Times New Roman"/>
          <w:vertAlign w:val="superscript"/>
        </w:rPr>
        <w:t>2</w:t>
      </w:r>
      <w:hyperlink r:id="rId9" w:history="1">
        <w:r w:rsidRPr="00C6098A">
          <w:rPr>
            <w:rStyle w:val="Hyperlink"/>
            <w:rFonts w:ascii="Times New Roman" w:hAnsi="Times New Roman" w:cs="Times New Roman"/>
          </w:rPr>
          <w:t>muh_nurman@unars.ac.id</w:t>
        </w:r>
      </w:hyperlink>
      <w:r w:rsidRPr="00C6098A">
        <w:rPr>
          <w:rFonts w:ascii="Times New Roman" w:hAnsi="Times New Roman" w:cs="Times New Roman"/>
        </w:rPr>
        <w:t xml:space="preserve">, </w:t>
      </w:r>
      <w:r w:rsidRPr="00C6098A">
        <w:rPr>
          <w:rFonts w:ascii="Times New Roman" w:hAnsi="Times New Roman" w:cs="Times New Roman"/>
          <w:vertAlign w:val="superscript"/>
        </w:rPr>
        <w:t>3</w:t>
      </w:r>
      <w:hyperlink r:id="rId10" w:history="1">
        <w:r w:rsidRPr="00C6098A">
          <w:rPr>
            <w:rStyle w:val="Hyperlink"/>
            <w:rFonts w:ascii="Times New Roman" w:hAnsi="Times New Roman" w:cs="Times New Roman"/>
          </w:rPr>
          <w:t>muhammadyusufibrahim@unars.ac.id</w:t>
        </w:r>
      </w:hyperlink>
      <w:r w:rsidRPr="00C6098A">
        <w:rPr>
          <w:rFonts w:ascii="Times New Roman" w:hAnsi="Times New Roman" w:cs="Times New Roman"/>
        </w:rPr>
        <w:t xml:space="preserve"> </w:t>
      </w:r>
    </w:p>
    <w:p w14:paraId="48BC8239" w14:textId="39B63EC7" w:rsidR="00034112" w:rsidRPr="00C6098A" w:rsidRDefault="00FE4D96" w:rsidP="00FE4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098A">
        <w:rPr>
          <w:rFonts w:ascii="Times New Roman" w:hAnsi="Times New Roman" w:cs="Times New Roman"/>
          <w:vertAlign w:val="superscript"/>
        </w:rPr>
        <w:t>1</w:t>
      </w:r>
      <w:r w:rsidR="00034112" w:rsidRPr="00C6098A">
        <w:rPr>
          <w:rFonts w:ascii="Times New Roman" w:hAnsi="Times New Roman" w:cs="Times New Roman"/>
        </w:rPr>
        <w:t xml:space="preserve">Jurusan </w:t>
      </w:r>
      <w:proofErr w:type="spellStart"/>
      <w:r w:rsidR="00034112" w:rsidRPr="00C6098A">
        <w:rPr>
          <w:rFonts w:ascii="Times New Roman" w:hAnsi="Times New Roman" w:cs="Times New Roman"/>
        </w:rPr>
        <w:t>Ilmu</w:t>
      </w:r>
      <w:proofErr w:type="spellEnd"/>
      <w:r w:rsidR="00034112" w:rsidRPr="00C6098A">
        <w:rPr>
          <w:rFonts w:ascii="Times New Roman" w:hAnsi="Times New Roman" w:cs="Times New Roman"/>
        </w:rPr>
        <w:t xml:space="preserve"> Hukum, </w:t>
      </w:r>
      <w:proofErr w:type="spellStart"/>
      <w:r w:rsidR="00034112" w:rsidRPr="00C6098A">
        <w:rPr>
          <w:rFonts w:ascii="Times New Roman" w:hAnsi="Times New Roman" w:cs="Times New Roman"/>
        </w:rPr>
        <w:t>Fakultas</w:t>
      </w:r>
      <w:proofErr w:type="spellEnd"/>
      <w:r w:rsidR="00034112" w:rsidRPr="00C6098A">
        <w:rPr>
          <w:rFonts w:ascii="Times New Roman" w:hAnsi="Times New Roman" w:cs="Times New Roman"/>
        </w:rPr>
        <w:t xml:space="preserve"> Hukum, Universitas </w:t>
      </w:r>
      <w:proofErr w:type="spellStart"/>
      <w:r w:rsidR="00034112" w:rsidRPr="00C6098A">
        <w:rPr>
          <w:rFonts w:ascii="Times New Roman" w:hAnsi="Times New Roman" w:cs="Times New Roman"/>
        </w:rPr>
        <w:t>Abdurachman</w:t>
      </w:r>
      <w:proofErr w:type="spellEnd"/>
      <w:r w:rsidR="00034112" w:rsidRPr="00C6098A">
        <w:rPr>
          <w:rFonts w:ascii="Times New Roman" w:hAnsi="Times New Roman" w:cs="Times New Roman"/>
        </w:rPr>
        <w:t xml:space="preserve"> Saleh </w:t>
      </w:r>
      <w:proofErr w:type="spellStart"/>
      <w:r w:rsidR="00034112" w:rsidRPr="00C6098A">
        <w:rPr>
          <w:rFonts w:ascii="Times New Roman" w:hAnsi="Times New Roman" w:cs="Times New Roman"/>
        </w:rPr>
        <w:t>Situbondo</w:t>
      </w:r>
      <w:proofErr w:type="spellEnd"/>
    </w:p>
    <w:p w14:paraId="63B59E4C" w14:textId="600C3EF4" w:rsidR="00034112" w:rsidRPr="00C6098A" w:rsidRDefault="00FE4D96" w:rsidP="00FE4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098A">
        <w:rPr>
          <w:rFonts w:ascii="Times New Roman" w:hAnsi="Times New Roman" w:cs="Times New Roman"/>
          <w:vertAlign w:val="superscript"/>
        </w:rPr>
        <w:t>2</w:t>
      </w:r>
      <w:r w:rsidR="00034112" w:rsidRPr="00C6098A">
        <w:rPr>
          <w:rFonts w:ascii="Times New Roman" w:hAnsi="Times New Roman" w:cs="Times New Roman"/>
        </w:rPr>
        <w:t xml:space="preserve">Jurusan </w:t>
      </w:r>
      <w:proofErr w:type="spellStart"/>
      <w:r w:rsidR="00034112" w:rsidRPr="00C6098A">
        <w:rPr>
          <w:rFonts w:ascii="Times New Roman" w:hAnsi="Times New Roman" w:cs="Times New Roman"/>
        </w:rPr>
        <w:t>Ilmu</w:t>
      </w:r>
      <w:proofErr w:type="spellEnd"/>
      <w:r w:rsidR="00034112" w:rsidRPr="00C6098A">
        <w:rPr>
          <w:rFonts w:ascii="Times New Roman" w:hAnsi="Times New Roman" w:cs="Times New Roman"/>
        </w:rPr>
        <w:t xml:space="preserve"> Hukum, </w:t>
      </w:r>
      <w:proofErr w:type="spellStart"/>
      <w:r w:rsidR="00034112" w:rsidRPr="00C6098A">
        <w:rPr>
          <w:rFonts w:ascii="Times New Roman" w:hAnsi="Times New Roman" w:cs="Times New Roman"/>
        </w:rPr>
        <w:t>Fakultas</w:t>
      </w:r>
      <w:proofErr w:type="spellEnd"/>
      <w:r w:rsidR="00034112" w:rsidRPr="00C6098A">
        <w:rPr>
          <w:rFonts w:ascii="Times New Roman" w:hAnsi="Times New Roman" w:cs="Times New Roman"/>
        </w:rPr>
        <w:t xml:space="preserve"> Hukum, Universitas </w:t>
      </w:r>
      <w:proofErr w:type="spellStart"/>
      <w:r w:rsidR="00034112" w:rsidRPr="00C6098A">
        <w:rPr>
          <w:rFonts w:ascii="Times New Roman" w:hAnsi="Times New Roman" w:cs="Times New Roman"/>
        </w:rPr>
        <w:t>Abdurachman</w:t>
      </w:r>
      <w:proofErr w:type="spellEnd"/>
      <w:r w:rsidR="00034112" w:rsidRPr="00C6098A">
        <w:rPr>
          <w:rFonts w:ascii="Times New Roman" w:hAnsi="Times New Roman" w:cs="Times New Roman"/>
        </w:rPr>
        <w:t xml:space="preserve"> Saleh </w:t>
      </w:r>
      <w:proofErr w:type="spellStart"/>
      <w:r w:rsidR="00034112" w:rsidRPr="00C6098A">
        <w:rPr>
          <w:rFonts w:ascii="Times New Roman" w:hAnsi="Times New Roman" w:cs="Times New Roman"/>
        </w:rPr>
        <w:t>Situbondo</w:t>
      </w:r>
      <w:proofErr w:type="spellEnd"/>
      <w:r w:rsidR="00034112" w:rsidRPr="00C6098A">
        <w:rPr>
          <w:rFonts w:ascii="Times New Roman" w:hAnsi="Times New Roman" w:cs="Times New Roman"/>
        </w:rPr>
        <w:t xml:space="preserve"> </w:t>
      </w:r>
    </w:p>
    <w:p w14:paraId="0DF103E1" w14:textId="50D7F62C" w:rsidR="00935AA5" w:rsidRPr="00C6098A" w:rsidRDefault="00FE4D96" w:rsidP="00FE4D96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C6098A">
        <w:rPr>
          <w:rFonts w:ascii="Times New Roman" w:hAnsi="Times New Roman" w:cs="Times New Roman"/>
          <w:vertAlign w:val="superscript"/>
        </w:rPr>
        <w:t>3</w:t>
      </w:r>
      <w:r w:rsidR="00034112" w:rsidRPr="00C6098A">
        <w:rPr>
          <w:rFonts w:ascii="Times New Roman" w:hAnsi="Times New Roman" w:cs="Times New Roman"/>
        </w:rPr>
        <w:t xml:space="preserve">Jurusan </w:t>
      </w:r>
      <w:proofErr w:type="spellStart"/>
      <w:r w:rsidR="00034112" w:rsidRPr="00C6098A">
        <w:rPr>
          <w:rFonts w:ascii="Times New Roman" w:hAnsi="Times New Roman" w:cs="Times New Roman"/>
        </w:rPr>
        <w:t>Ilmu</w:t>
      </w:r>
      <w:proofErr w:type="spellEnd"/>
      <w:r w:rsidR="00034112" w:rsidRPr="00C6098A">
        <w:rPr>
          <w:rFonts w:ascii="Times New Roman" w:hAnsi="Times New Roman" w:cs="Times New Roman"/>
        </w:rPr>
        <w:t xml:space="preserve"> Hukum, </w:t>
      </w:r>
      <w:proofErr w:type="spellStart"/>
      <w:r w:rsidR="00034112" w:rsidRPr="00C6098A">
        <w:rPr>
          <w:rFonts w:ascii="Times New Roman" w:hAnsi="Times New Roman" w:cs="Times New Roman"/>
        </w:rPr>
        <w:t>Fakultas</w:t>
      </w:r>
      <w:proofErr w:type="spellEnd"/>
      <w:r w:rsidR="00034112" w:rsidRPr="00C6098A">
        <w:rPr>
          <w:rFonts w:ascii="Times New Roman" w:hAnsi="Times New Roman" w:cs="Times New Roman"/>
        </w:rPr>
        <w:t xml:space="preserve"> Hukum, Universitas </w:t>
      </w:r>
      <w:proofErr w:type="spellStart"/>
      <w:r w:rsidR="00034112" w:rsidRPr="00C6098A">
        <w:rPr>
          <w:rFonts w:ascii="Times New Roman" w:hAnsi="Times New Roman" w:cs="Times New Roman"/>
        </w:rPr>
        <w:t>Abdurachman</w:t>
      </w:r>
      <w:proofErr w:type="spellEnd"/>
      <w:r w:rsidR="00034112" w:rsidRPr="00C6098A">
        <w:rPr>
          <w:rFonts w:ascii="Times New Roman" w:hAnsi="Times New Roman" w:cs="Times New Roman"/>
        </w:rPr>
        <w:t xml:space="preserve"> Saleh </w:t>
      </w:r>
      <w:proofErr w:type="spellStart"/>
      <w:r w:rsidR="00034112" w:rsidRPr="00C6098A">
        <w:rPr>
          <w:rFonts w:ascii="Times New Roman" w:hAnsi="Times New Roman" w:cs="Times New Roman"/>
        </w:rPr>
        <w:t>Situbondo</w:t>
      </w:r>
      <w:proofErr w:type="spellEnd"/>
    </w:p>
    <w:p w14:paraId="64FA4756" w14:textId="3BF23B51" w:rsidR="00EB7C70" w:rsidRPr="006D7116" w:rsidRDefault="009F2471" w:rsidP="0003411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4D5D053A" w14:textId="3EAC5EB0" w:rsidR="00212412" w:rsidRPr="006D7116" w:rsidRDefault="00013333" w:rsidP="000B634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2020</w:t>
      </w:r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materi</w:t>
      </w:r>
      <w:r w:rsidR="00A5505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p</w:t>
      </w:r>
      <w:r w:rsidR="00571628" w:rsidRPr="00571628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(2) dan (3)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9E">
        <w:rPr>
          <w:rFonts w:ascii="Times New Roman" w:hAnsi="Times New Roman" w:cs="Times New Roman"/>
          <w:sz w:val="24"/>
          <w:szCs w:val="24"/>
        </w:rPr>
        <w:t>p</w:t>
      </w:r>
      <w:r w:rsidR="00571628" w:rsidRPr="00571628">
        <w:rPr>
          <w:rFonts w:ascii="Times New Roman" w:hAnsi="Times New Roman" w:cs="Times New Roman"/>
          <w:sz w:val="24"/>
          <w:szCs w:val="24"/>
        </w:rPr>
        <w:t>utusan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18/PUU-XVII/2019 yang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berimplikasi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juga </w:t>
      </w:r>
      <w:r w:rsidR="0057162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571628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d</w:t>
      </w:r>
      <w:r w:rsidR="002B0B22">
        <w:rPr>
          <w:rFonts w:ascii="Times New Roman" w:hAnsi="Times New Roman" w:cs="Times New Roman"/>
          <w:sz w:val="24"/>
          <w:szCs w:val="24"/>
        </w:rPr>
        <w:t>iperbuat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1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211689">
        <w:rPr>
          <w:rFonts w:ascii="Times New Roman" w:hAnsi="Times New Roman" w:cs="Times New Roman"/>
          <w:sz w:val="24"/>
          <w:szCs w:val="24"/>
        </w:rPr>
        <w:t>,</w:t>
      </w:r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B0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B22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="002B0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B22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r w:rsidR="00571628">
        <w:rPr>
          <w:rFonts w:ascii="Times New Roman" w:hAnsi="Times New Roman" w:cs="Times New Roman"/>
          <w:sz w:val="24"/>
          <w:szCs w:val="24"/>
        </w:rPr>
        <w:t>Negeri</w:t>
      </w:r>
      <w:r w:rsidR="00571628" w:rsidRPr="00571628">
        <w:rPr>
          <w:rFonts w:ascii="Times New Roman" w:hAnsi="Times New Roman" w:cs="Times New Roman"/>
          <w:sz w:val="24"/>
          <w:szCs w:val="24"/>
        </w:rPr>
        <w:t xml:space="preserve">. </w:t>
      </w:r>
      <w:r w:rsidR="00C85FE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634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34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D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571628" w:rsidRP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 w:rsidRPr="00571628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E15160" w:rsidRPr="006D7116">
        <w:rPr>
          <w:rFonts w:ascii="Times New Roman" w:hAnsi="Times New Roman" w:cs="Times New Roman"/>
          <w:sz w:val="24"/>
          <w:szCs w:val="24"/>
        </w:rPr>
        <w:t>.</w:t>
      </w:r>
    </w:p>
    <w:p w14:paraId="27296F57" w14:textId="234AA292" w:rsidR="00E15160" w:rsidRPr="006D7116" w:rsidRDefault="00E657F2" w:rsidP="0003411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6D7116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>.</w:t>
      </w:r>
    </w:p>
    <w:p w14:paraId="4873FE72" w14:textId="76E25C42" w:rsidR="000D5F53" w:rsidRPr="006D7116" w:rsidRDefault="00B04060" w:rsidP="00034112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35FAE8C3" w14:textId="191B8D2F" w:rsidR="004D3C94" w:rsidRPr="004D3C94" w:rsidRDefault="00013333" w:rsidP="004D3C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C94" w:rsidRPr="004D3C94">
        <w:rPr>
          <w:rFonts w:ascii="Times New Roman" w:hAnsi="Times New Roman" w:cs="Times New Roman"/>
          <w:sz w:val="24"/>
          <w:szCs w:val="24"/>
        </w:rPr>
        <w:t xml:space="preserve">The Constitutional Court on January 6, 2020 granted a request for a judicial review of Article 15 paragraphs (2) and (3) of Law Number 42 of 1999 concerning fiduciary guarantees in Decision Number 18/PUU-XVII/2019 which not only has implications for the executorial power of fiduciary guarantee certificates, but also for the mechanism for determining </w:t>
      </w:r>
      <w:r w:rsidR="00A84801" w:rsidRPr="006D7116">
        <w:rPr>
          <w:rFonts w:ascii="Times New Roman" w:hAnsi="Times New Roman" w:cs="Times New Roman"/>
          <w:sz w:val="24"/>
          <w:szCs w:val="24"/>
        </w:rPr>
        <w:t>breach of contract</w:t>
      </w:r>
      <w:r w:rsidR="004D3C94" w:rsidRPr="004D3C94">
        <w:rPr>
          <w:rFonts w:ascii="Times New Roman" w:hAnsi="Times New Roman" w:cs="Times New Roman"/>
          <w:sz w:val="24"/>
          <w:szCs w:val="24"/>
        </w:rPr>
        <w:t xml:space="preserve"> made by debtors against consumer financing agreements with fiduciary guarantees, must submit a simple lawsuit for </w:t>
      </w:r>
      <w:r w:rsidR="004D3C94" w:rsidRPr="006D7116">
        <w:rPr>
          <w:rFonts w:ascii="Times New Roman" w:hAnsi="Times New Roman" w:cs="Times New Roman"/>
          <w:sz w:val="24"/>
          <w:szCs w:val="24"/>
        </w:rPr>
        <w:t>breach of contract</w:t>
      </w:r>
      <w:r w:rsidR="004D3C94" w:rsidRPr="004D3C94">
        <w:rPr>
          <w:rFonts w:ascii="Times New Roman" w:hAnsi="Times New Roman" w:cs="Times New Roman"/>
          <w:sz w:val="24"/>
          <w:szCs w:val="24"/>
        </w:rPr>
        <w:t xml:space="preserve"> to the District Court. From this description, the author is interested in studying and </w:t>
      </w:r>
      <w:proofErr w:type="spellStart"/>
      <w:r w:rsidR="004D3C94" w:rsidRPr="004D3C94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="004D3C94" w:rsidRPr="004D3C94">
        <w:rPr>
          <w:rFonts w:ascii="Times New Roman" w:hAnsi="Times New Roman" w:cs="Times New Roman"/>
          <w:sz w:val="24"/>
          <w:szCs w:val="24"/>
        </w:rPr>
        <w:t xml:space="preserve"> the characteristics </w:t>
      </w:r>
      <w:r w:rsidR="004D3C94" w:rsidRPr="006D7116">
        <w:rPr>
          <w:rFonts w:ascii="Times New Roman" w:hAnsi="Times New Roman" w:cs="Times New Roman"/>
          <w:sz w:val="24"/>
          <w:szCs w:val="24"/>
        </w:rPr>
        <w:t>breach of contract</w:t>
      </w:r>
      <w:r w:rsidR="004D3C94" w:rsidRPr="004D3C94">
        <w:rPr>
          <w:rFonts w:ascii="Times New Roman" w:hAnsi="Times New Roman" w:cs="Times New Roman"/>
          <w:sz w:val="24"/>
          <w:szCs w:val="24"/>
        </w:rPr>
        <w:t xml:space="preserve"> in consumer financing agreements with fiduciary guarantees.</w:t>
      </w:r>
    </w:p>
    <w:p w14:paraId="434AAF9A" w14:textId="7DAE2128" w:rsidR="00120337" w:rsidRDefault="00621C27" w:rsidP="004D3C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6D7116">
        <w:rPr>
          <w:rFonts w:ascii="Times New Roman" w:hAnsi="Times New Roman" w:cs="Times New Roman"/>
          <w:sz w:val="24"/>
          <w:szCs w:val="24"/>
        </w:rPr>
        <w:t>: breach of contract, consumer financing, fiduciary collateral</w:t>
      </w:r>
    </w:p>
    <w:p w14:paraId="0771BEBE" w14:textId="77777777" w:rsidR="00571628" w:rsidRDefault="00571628" w:rsidP="0003411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E1A3" w14:textId="04228054" w:rsidR="00571628" w:rsidRPr="006D7116" w:rsidRDefault="00410DEF" w:rsidP="00410DEF">
      <w:pPr>
        <w:tabs>
          <w:tab w:val="left" w:pos="595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0EAABA" w14:textId="2148A950" w:rsidR="000D5F53" w:rsidRPr="006D7116" w:rsidRDefault="0045569F" w:rsidP="006D71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PENDAHULUAN</w:t>
      </w:r>
    </w:p>
    <w:p w14:paraId="7D564BC7" w14:textId="32FE775F" w:rsidR="00212412" w:rsidRPr="006D7116" w:rsidRDefault="00212412" w:rsidP="006D71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649685"/>
      <w:proofErr w:type="spellStart"/>
      <w:r w:rsidRPr="006D7116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kebawah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37F">
        <w:rPr>
          <w:rFonts w:ascii="Times New Roman" w:hAnsi="Times New Roman" w:cs="Times New Roman"/>
          <w:sz w:val="24"/>
          <w:szCs w:val="24"/>
        </w:rPr>
        <w:t>k</w:t>
      </w:r>
      <w:r w:rsidR="005B4B6B" w:rsidRPr="005B4B6B">
        <w:rPr>
          <w:rFonts w:ascii="Times New Roman" w:hAnsi="Times New Roman" w:cs="Times New Roman"/>
          <w:sz w:val="24"/>
          <w:szCs w:val="24"/>
        </w:rPr>
        <w:t>endaraan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>cash</w:t>
      </w:r>
      <w:r w:rsidRPr="006D7116">
        <w:rPr>
          <w:rFonts w:ascii="Times New Roman" w:hAnsi="Times New Roman" w:cs="Times New Roman"/>
          <w:sz w:val="24"/>
          <w:szCs w:val="24"/>
        </w:rPr>
        <w:t xml:space="preserve"> di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>dealer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sangat mahal. Hal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61B3C" w14:textId="2E962D06" w:rsidR="00212412" w:rsidRPr="006D7116" w:rsidRDefault="00212412" w:rsidP="006D71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="006E537F">
        <w:rPr>
          <w:rFonts w:ascii="Times New Roman" w:hAnsi="Times New Roman" w:cs="Times New Roman"/>
          <w:sz w:val="24"/>
          <w:szCs w:val="24"/>
        </w:rPr>
        <w:t>p</w:t>
      </w:r>
      <w:r w:rsidRPr="006D7116">
        <w:rPr>
          <w:rFonts w:ascii="Times New Roman" w:hAnsi="Times New Roman" w:cs="Times New Roman"/>
          <w:sz w:val="24"/>
          <w:szCs w:val="24"/>
        </w:rPr>
        <w:t>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47/POJK.05/2020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Usaha dan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6D7116">
        <w:rPr>
          <w:rFonts w:ascii="Times New Roman" w:hAnsi="Times New Roman" w:cs="Times New Roman"/>
          <w:sz w:val="24"/>
          <w:szCs w:val="24"/>
        </w:rPr>
        <w:t xml:space="preserve"> Perusahaan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>customer finance</w:t>
      </w:r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adira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>finance</w:t>
      </w:r>
      <w:r w:rsidRPr="006D7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Utama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>Finance</w:t>
      </w:r>
      <w:r w:rsidRPr="006D7116">
        <w:rPr>
          <w:rFonts w:ascii="Times New Roman" w:hAnsi="Times New Roman" w:cs="Times New Roman"/>
          <w:sz w:val="24"/>
          <w:szCs w:val="24"/>
        </w:rPr>
        <w:t xml:space="preserve"> (MUA), Federal Indonesia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>Finance</w:t>
      </w:r>
      <w:r w:rsidRPr="006D7116">
        <w:rPr>
          <w:rFonts w:ascii="Times New Roman" w:hAnsi="Times New Roman" w:cs="Times New Roman"/>
          <w:sz w:val="24"/>
          <w:szCs w:val="24"/>
        </w:rPr>
        <w:t xml:space="preserve"> (FIF) dan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F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0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0F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0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anjak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>,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 dan</w:t>
      </w:r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3D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3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3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600D7A"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0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>.</w:t>
      </w:r>
    </w:p>
    <w:p w14:paraId="696FB612" w14:textId="7D46BEB1" w:rsidR="00212412" w:rsidRPr="006D7116" w:rsidRDefault="005B4B6B" w:rsidP="006D71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B6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opsi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cicilan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>.</w:t>
      </w:r>
      <w:r w:rsidR="00212412"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>)</w:t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kreditu</w:t>
      </w:r>
      <w:r w:rsidR="00B516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51697">
        <w:rPr>
          <w:rFonts w:ascii="Times New Roman" w:hAnsi="Times New Roman" w:cs="Times New Roman"/>
          <w:sz w:val="24"/>
          <w:szCs w:val="24"/>
        </w:rPr>
        <w:t>)</w:t>
      </w:r>
      <w:r w:rsidR="00150447">
        <w:rPr>
          <w:rFonts w:ascii="Times New Roman" w:hAnsi="Times New Roman" w:cs="Times New Roman"/>
          <w:sz w:val="24"/>
          <w:szCs w:val="24"/>
        </w:rPr>
        <w:t xml:space="preserve"> </w:t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r w:rsidRPr="005B4B6B">
        <w:rPr>
          <w:rFonts w:ascii="Times New Roman" w:hAnsi="Times New Roman" w:cs="Times New Roman"/>
          <w:i/>
          <w:iCs/>
          <w:sz w:val="24"/>
          <w:szCs w:val="24"/>
        </w:rPr>
        <w:t>format</w:t>
      </w:r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rjanjian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B6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. </w:t>
      </w:r>
      <w:r w:rsidRPr="005B4B6B">
        <w:rPr>
          <w:rFonts w:ascii="Times New Roman" w:hAnsi="Times New Roman" w:cs="Times New Roman"/>
          <w:i/>
          <w:iCs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F7F">
        <w:rPr>
          <w:rFonts w:ascii="Times New Roman" w:hAnsi="Times New Roman" w:cs="Times New Roman"/>
          <w:sz w:val="24"/>
          <w:szCs w:val="24"/>
        </w:rPr>
        <w:t>p</w:t>
      </w:r>
      <w:r w:rsidR="00212412" w:rsidRPr="006D7116">
        <w:rPr>
          <w:rFonts w:ascii="Times New Roman" w:hAnsi="Times New Roman" w:cs="Times New Roman"/>
          <w:sz w:val="24"/>
          <w:szCs w:val="24"/>
        </w:rPr>
        <w:t>erjanjian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3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E5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C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8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ber</w:t>
      </w:r>
      <w:r w:rsidR="00C23CE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C23CE0">
        <w:rPr>
          <w:rFonts w:ascii="Times New Roman" w:hAnsi="Times New Roman" w:cs="Times New Roman"/>
          <w:sz w:val="24"/>
          <w:szCs w:val="24"/>
        </w:rPr>
        <w:t xml:space="preserve"> pada</w:t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berkontrak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="00212412" w:rsidRPr="006D7116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C23CE0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="00C23CE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23CE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III Kitab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6E537F">
        <w:rPr>
          <w:rFonts w:ascii="Times New Roman" w:hAnsi="Times New Roman" w:cs="Times New Roman"/>
          <w:sz w:val="24"/>
          <w:szCs w:val="24"/>
        </w:rPr>
        <w:t>P</w:t>
      </w:r>
      <w:r w:rsidR="00212412" w:rsidRPr="006D7116">
        <w:rPr>
          <w:rFonts w:ascii="Times New Roman" w:hAnsi="Times New Roman" w:cs="Times New Roman"/>
          <w:sz w:val="24"/>
          <w:szCs w:val="24"/>
        </w:rPr>
        <w:t>erdata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>).</w:t>
      </w:r>
      <w:r w:rsidR="00212412"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8B251" w14:textId="5FDED38D" w:rsidR="00212412" w:rsidRPr="006D7116" w:rsidRDefault="00212412" w:rsidP="006D71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47" w:rsidRPr="00150447">
        <w:rPr>
          <w:rFonts w:ascii="Times New Roman" w:hAnsi="Times New Roman" w:cs="Times New Roman"/>
          <w:i/>
          <w:iCs/>
          <w:sz w:val="24"/>
          <w:szCs w:val="24"/>
        </w:rPr>
        <w:t>innominaat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pengaturannya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H.S Salim </w:t>
      </w:r>
      <w:proofErr w:type="spellStart"/>
      <w:r w:rsidR="00204227">
        <w:rPr>
          <w:rFonts w:ascii="Times New Roman" w:hAnsi="Times New Roman" w:cs="Times New Roman"/>
          <w:sz w:val="24"/>
          <w:szCs w:val="24"/>
        </w:rPr>
        <w:t>p</w:t>
      </w:r>
      <w:r w:rsidRPr="006D7116">
        <w:rPr>
          <w:rFonts w:ascii="Times New Roman" w:hAnsi="Times New Roman" w:cs="Times New Roman"/>
          <w:sz w:val="24"/>
          <w:szCs w:val="24"/>
        </w:rPr>
        <w:t>erjanjian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dana (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dana (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), di mana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>cash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mengangsur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lunas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B0814" w14:textId="7F4208AD" w:rsidR="005B4B6B" w:rsidRDefault="00013333" w:rsidP="006D71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33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. Hukum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>,</w:t>
      </w:r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3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gadai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>.</w:t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di</w:t>
      </w:r>
      <w:r w:rsidR="00B51697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6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mbebanan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1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3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dilunasi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. </w:t>
      </w:r>
      <w:r w:rsidR="00BC3B19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3B19" w:rsidRPr="00BC3B19">
        <w:rPr>
          <w:rFonts w:ascii="Times New Roman" w:hAnsi="Times New Roman" w:cs="Times New Roman"/>
          <w:i/>
          <w:iCs/>
          <w:sz w:val="24"/>
          <w:szCs w:val="24"/>
        </w:rPr>
        <w:t>accesoir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>)</w:t>
      </w:r>
      <w:r w:rsidR="0007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p</w:t>
      </w:r>
      <w:r w:rsidR="00A0773D">
        <w:rPr>
          <w:rFonts w:ascii="Times New Roman" w:hAnsi="Times New Roman" w:cs="Times New Roman"/>
          <w:sz w:val="24"/>
          <w:szCs w:val="24"/>
        </w:rPr>
        <w:t>okok</w:t>
      </w:r>
      <w:proofErr w:type="spellEnd"/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>.</w:t>
      </w:r>
      <w:r w:rsidR="00212412"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6791845"/>
    </w:p>
    <w:p w14:paraId="3192C872" w14:textId="4354D7B1" w:rsidR="00212412" w:rsidRPr="009440FD" w:rsidRDefault="009440FD" w:rsidP="006D71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Benda</w:t>
      </w:r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dibebani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fidusia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akta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notaris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akta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fidusia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  <w:r w:rsidR="00613E12">
        <w:rPr>
          <w:rFonts w:ascii="Times New Roman" w:hAnsi="Times New Roman" w:cs="Times New Roman"/>
          <w:sz w:val="24"/>
          <w:szCs w:val="24"/>
        </w:rPr>
        <w:t>.</w:t>
      </w:r>
      <w:r w:rsidR="00212412"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fidusia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dibebani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fidusia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didaftarkan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0FD">
        <w:rPr>
          <w:rFonts w:ascii="Times New Roman" w:hAnsi="Times New Roman" w:cs="Times New Roman"/>
          <w:sz w:val="24"/>
          <w:szCs w:val="24"/>
          <w:lang w:val="en-US"/>
        </w:rPr>
        <w:t>fidusia</w:t>
      </w:r>
      <w:proofErr w:type="spellEnd"/>
      <w:r w:rsidRPr="009440F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irah-irah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r w:rsidR="00BC3B19">
        <w:rPr>
          <w:rFonts w:ascii="Times New Roman" w:hAnsi="Times New Roman" w:cs="Times New Roman"/>
          <w:sz w:val="24"/>
          <w:szCs w:val="24"/>
        </w:rPr>
        <w:t>“</w:t>
      </w:r>
      <w:r w:rsidR="00BC3B19" w:rsidRPr="00BC3B19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19" w:rsidRPr="00BC3B19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="00BC3B19" w:rsidRPr="00BC3B19">
        <w:rPr>
          <w:rFonts w:ascii="Times New Roman" w:hAnsi="Times New Roman" w:cs="Times New Roman"/>
          <w:sz w:val="24"/>
          <w:szCs w:val="24"/>
        </w:rPr>
        <w:t xml:space="preserve"> Yang Maha Esa</w:t>
      </w:r>
      <w:r w:rsidR="00BC3B1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75A6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75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D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F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D9D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8F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D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F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D9D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144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D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D7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="00144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D7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="00144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D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4B6B" w:rsidRPr="005B4B6B">
        <w:rPr>
          <w:rFonts w:ascii="Times New Roman" w:hAnsi="Times New Roman" w:cs="Times New Roman"/>
          <w:i/>
          <w:iCs/>
          <w:sz w:val="24"/>
          <w:szCs w:val="24"/>
        </w:rPr>
        <w:t>parate</w:t>
      </w:r>
      <w:proofErr w:type="spellEnd"/>
      <w:r w:rsidR="005B4B6B" w:rsidRPr="005B4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4B6B" w:rsidRPr="005B4B6B">
        <w:rPr>
          <w:rFonts w:ascii="Times New Roman" w:hAnsi="Times New Roman" w:cs="Times New Roman"/>
          <w:i/>
          <w:iCs/>
          <w:sz w:val="24"/>
          <w:szCs w:val="24"/>
        </w:rPr>
        <w:t>executie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B" w:rsidRPr="005B4B6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5B4B6B" w:rsidRPr="005B4B6B">
        <w:rPr>
          <w:rFonts w:ascii="Times New Roman" w:hAnsi="Times New Roman" w:cs="Times New Roman"/>
          <w:sz w:val="24"/>
          <w:szCs w:val="24"/>
        </w:rPr>
        <w:t>.</w:t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="006E2E77" w:rsidRPr="006E2E77">
        <w:rPr>
          <w:rFonts w:ascii="Times New Roman" w:hAnsi="Times New Roman" w:cs="Times New Roman"/>
          <w:i/>
          <w:iCs/>
          <w:sz w:val="24"/>
          <w:szCs w:val="24"/>
        </w:rPr>
        <w:t xml:space="preserve">Parate </w:t>
      </w:r>
      <w:proofErr w:type="spellStart"/>
      <w:r w:rsidR="006E2E77" w:rsidRPr="006E2E77">
        <w:rPr>
          <w:rFonts w:ascii="Times New Roman" w:hAnsi="Times New Roman" w:cs="Times New Roman"/>
          <w:i/>
          <w:iCs/>
          <w:sz w:val="24"/>
          <w:szCs w:val="24"/>
        </w:rPr>
        <w:t>eksekusi</w:t>
      </w:r>
      <w:proofErr w:type="spellEnd"/>
      <w:r w:rsidR="006E2E77" w:rsidRPr="006E2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2E77" w:rsidRPr="006E2E7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6E2E77"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E77" w:rsidRPr="006E2E77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="006E2E77"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2D0462" w:rsidRP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 w:rsidRPr="002D0462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07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7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212412" w:rsidRPr="006E2E7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2412" w:rsidRPr="006D7116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B7B56" w14:textId="4B616660" w:rsidR="00D13FA5" w:rsidRPr="006D7116" w:rsidRDefault="00BC3B19" w:rsidP="006D7116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6791871"/>
      <w:bookmarkEnd w:id="6"/>
      <w:proofErr w:type="spellStart"/>
      <w:r w:rsidRPr="00BC3B1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ngaturan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89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E2E77">
        <w:rPr>
          <w:rFonts w:ascii="Times New Roman" w:hAnsi="Times New Roman" w:cs="Times New Roman"/>
          <w:i/>
          <w:iCs/>
          <w:sz w:val="24"/>
          <w:szCs w:val="24"/>
        </w:rPr>
        <w:t>arate</w:t>
      </w:r>
      <w:proofErr w:type="spellEnd"/>
      <w:r w:rsidRPr="006E2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i/>
          <w:iCs/>
          <w:sz w:val="24"/>
          <w:szCs w:val="24"/>
        </w:rPr>
        <w:t>eksekusi</w:t>
      </w:r>
      <w:proofErr w:type="spellEnd"/>
      <w:r w:rsidRPr="006E2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318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r w:rsidR="009D318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C3B19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1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C3B19">
        <w:rPr>
          <w:rFonts w:ascii="Times New Roman" w:hAnsi="Times New Roman" w:cs="Times New Roman"/>
          <w:sz w:val="24"/>
          <w:szCs w:val="24"/>
        </w:rPr>
        <w:t xml:space="preserve"> UUJF)</w:t>
      </w:r>
      <w:r w:rsidR="00995CE2">
        <w:rPr>
          <w:rFonts w:ascii="Times New Roman" w:hAnsi="Times New Roman" w:cs="Times New Roman"/>
          <w:sz w:val="24"/>
          <w:szCs w:val="24"/>
        </w:rPr>
        <w:t xml:space="preserve"> yang</w:t>
      </w:r>
      <w:r w:rsidR="0088001E" w:rsidRPr="0088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1E" w:rsidRPr="0088001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1E" w:rsidRPr="0088001E">
        <w:rPr>
          <w:rFonts w:ascii="Times New Roman" w:hAnsi="Times New Roman" w:cs="Times New Roman"/>
          <w:sz w:val="24"/>
          <w:szCs w:val="24"/>
        </w:rPr>
        <w:t>bahw</w:t>
      </w:r>
      <w:r w:rsidR="000721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721D4">
        <w:rPr>
          <w:rFonts w:ascii="Times New Roman" w:hAnsi="Times New Roman" w:cs="Times New Roman"/>
          <w:sz w:val="24"/>
          <w:szCs w:val="24"/>
        </w:rPr>
        <w:t xml:space="preserve"> </w:t>
      </w:r>
      <w:r w:rsidR="0087719E">
        <w:rPr>
          <w:rFonts w:ascii="Times New Roman" w:hAnsi="Times New Roman" w:cs="Times New Roman"/>
          <w:sz w:val="24"/>
          <w:szCs w:val="24"/>
        </w:rPr>
        <w:t>yang</w:t>
      </w:r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3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 xml:space="preserve"> </w:t>
      </w:r>
      <w:r w:rsidR="005131FD">
        <w:rPr>
          <w:rFonts w:ascii="Times New Roman" w:hAnsi="Times New Roman" w:cs="Times New Roman"/>
          <w:sz w:val="24"/>
          <w:szCs w:val="24"/>
        </w:rPr>
        <w:t>pada</w:t>
      </w:r>
      <w:r w:rsidR="0088001E" w:rsidRPr="0088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19">
        <w:rPr>
          <w:rFonts w:ascii="Times New Roman" w:hAnsi="Times New Roman" w:cs="Times New Roman"/>
          <w:sz w:val="24"/>
          <w:szCs w:val="24"/>
        </w:rPr>
        <w:t>p</w:t>
      </w:r>
      <w:r w:rsidR="0088001E" w:rsidRPr="0088001E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88001E" w:rsidRPr="0088001E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 xml:space="preserve"> (1) UUJF</w:t>
      </w:r>
      <w:r w:rsidR="0087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7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9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87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9E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87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9E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87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9E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s</w:t>
      </w:r>
      <w:r w:rsidR="005131FD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1E" w:rsidRPr="008800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1E" w:rsidRPr="0088001E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1E" w:rsidRPr="0088001E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87719E">
        <w:rPr>
          <w:rFonts w:ascii="Times New Roman" w:hAnsi="Times New Roman" w:cs="Times New Roman"/>
          <w:sz w:val="24"/>
          <w:szCs w:val="24"/>
        </w:rPr>
        <w:t xml:space="preserve"> ya</w:t>
      </w:r>
      <w:r w:rsidR="000721D4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7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D4" w:rsidRPr="0052138F">
        <w:rPr>
          <w:rFonts w:ascii="Times New Roman" w:hAnsi="Times New Roman" w:cs="Times New Roman"/>
          <w:i/>
          <w:iCs/>
          <w:sz w:val="24"/>
          <w:szCs w:val="24"/>
        </w:rPr>
        <w:t>inkracht</w:t>
      </w:r>
      <w:proofErr w:type="spellEnd"/>
      <w:r w:rsidR="000721D4" w:rsidRPr="0052138F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="000721D4" w:rsidRPr="0052138F">
        <w:rPr>
          <w:rFonts w:ascii="Times New Roman" w:hAnsi="Times New Roman" w:cs="Times New Roman"/>
          <w:i/>
          <w:iCs/>
          <w:sz w:val="24"/>
          <w:szCs w:val="24"/>
        </w:rPr>
        <w:t>gewijsde</w:t>
      </w:r>
      <w:proofErr w:type="spellEnd"/>
      <w:r w:rsidR="0088001E" w:rsidRPr="0088001E">
        <w:rPr>
          <w:rFonts w:ascii="Times New Roman" w:hAnsi="Times New Roman" w:cs="Times New Roman"/>
          <w:sz w:val="24"/>
          <w:szCs w:val="24"/>
        </w:rPr>
        <w:t>.</w:t>
      </w:r>
      <w:r w:rsidR="00F631D1">
        <w:rPr>
          <w:rFonts w:ascii="Times New Roman" w:hAnsi="Times New Roman" w:cs="Times New Roman"/>
          <w:sz w:val="24"/>
          <w:szCs w:val="24"/>
        </w:rPr>
        <w:t xml:space="preserve"> </w:t>
      </w:r>
      <w:r w:rsidRPr="006E2E77">
        <w:rPr>
          <w:rFonts w:ascii="Times New Roman" w:hAnsi="Times New Roman" w:cs="Times New Roman"/>
          <w:i/>
          <w:iCs/>
          <w:sz w:val="24"/>
          <w:szCs w:val="24"/>
        </w:rPr>
        <w:t xml:space="preserve">Parate </w:t>
      </w:r>
      <w:proofErr w:type="spellStart"/>
      <w:r w:rsidRPr="006E2E77">
        <w:rPr>
          <w:rFonts w:ascii="Times New Roman" w:hAnsi="Times New Roman" w:cs="Times New Roman"/>
          <w:i/>
          <w:iCs/>
          <w:sz w:val="24"/>
          <w:szCs w:val="24"/>
        </w:rPr>
        <w:t>eksekusi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D1" w:rsidRPr="00F631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D1" w:rsidRPr="00F631D1">
        <w:rPr>
          <w:rFonts w:ascii="Times New Roman" w:hAnsi="Times New Roman" w:cs="Times New Roman"/>
          <w:sz w:val="24"/>
          <w:szCs w:val="24"/>
        </w:rPr>
        <w:t>dil</w:t>
      </w:r>
      <w:r w:rsidR="002B3D19">
        <w:rPr>
          <w:rFonts w:ascii="Times New Roman" w:hAnsi="Times New Roman" w:cs="Times New Roman"/>
          <w:sz w:val="24"/>
          <w:szCs w:val="24"/>
        </w:rPr>
        <w:t>aksanakan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D1" w:rsidRPr="00F631D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D1" w:rsidRPr="00F631D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613E12">
        <w:rPr>
          <w:rFonts w:ascii="Times New Roman" w:hAnsi="Times New Roman" w:cs="Times New Roman"/>
          <w:sz w:val="24"/>
          <w:szCs w:val="24"/>
        </w:rPr>
        <w:t xml:space="preserve"> </w:t>
      </w:r>
      <w:r w:rsidR="00F631D1" w:rsidRPr="00F631D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631D1" w:rsidRPr="00F631D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D1" w:rsidRPr="00F631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896">
        <w:rPr>
          <w:rFonts w:ascii="Times New Roman" w:hAnsi="Times New Roman" w:cs="Times New Roman"/>
          <w:sz w:val="24"/>
          <w:szCs w:val="24"/>
        </w:rPr>
        <w:t>p</w:t>
      </w:r>
      <w:r w:rsidR="00F631D1" w:rsidRPr="00F631D1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F631D1" w:rsidRPr="00F631D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F631D1" w:rsidRPr="00F631D1">
        <w:rPr>
          <w:rFonts w:ascii="Times New Roman" w:hAnsi="Times New Roman" w:cs="Times New Roman"/>
          <w:sz w:val="24"/>
          <w:szCs w:val="24"/>
        </w:rPr>
        <w:t xml:space="preserve"> (3) UUJF</w:t>
      </w:r>
      <w:r w:rsidR="0007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896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2B3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D1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2B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B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diperbuat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18/PUU-XVII/2019 yang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menafsiran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konsitusionalitas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(2) dan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(3) UUJF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eksekusitorial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412" w:rsidRPr="006D711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212412" w:rsidRPr="006D7116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7"/>
    </w:p>
    <w:p w14:paraId="1281F439" w14:textId="3C7D0E2B" w:rsidR="0045569F" w:rsidRPr="006D7116" w:rsidRDefault="0045569F" w:rsidP="006D7116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03337302" w14:textId="410503EC" w:rsidR="00C23CE0" w:rsidRDefault="006E2E77" w:rsidP="00C23CE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89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uaraian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B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20">
        <w:rPr>
          <w:rFonts w:ascii="Times New Roman" w:hAnsi="Times New Roman" w:cs="Times New Roman"/>
          <w:sz w:val="24"/>
          <w:szCs w:val="24"/>
        </w:rPr>
        <w:t>penelitia</w:t>
      </w:r>
      <w:r w:rsidR="000721D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>
        <w:rPr>
          <w:rFonts w:ascii="Times New Roman" w:hAnsi="Times New Roman" w:cs="Times New Roman"/>
          <w:sz w:val="24"/>
          <w:szCs w:val="24"/>
        </w:rPr>
        <w:t>yuridis</w:t>
      </w:r>
      <w:r w:rsidR="005131FD">
        <w:rPr>
          <w:rFonts w:ascii="Times New Roman" w:hAnsi="Times New Roman" w:cs="Times New Roman"/>
          <w:sz w:val="24"/>
          <w:szCs w:val="24"/>
        </w:rPr>
        <w:t>-</w:t>
      </w:r>
      <w:r w:rsidR="00C23CE0" w:rsidRPr="00C23CE0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9E14E4">
        <w:rPr>
          <w:rFonts w:ascii="Times New Roman" w:hAnsi="Times New Roman" w:cs="Times New Roman"/>
          <w:sz w:val="24"/>
          <w:szCs w:val="24"/>
        </w:rPr>
        <w:t xml:space="preserve"> (</w:t>
      </w:r>
      <w:r w:rsidR="009E14E4" w:rsidRPr="004A487D">
        <w:rPr>
          <w:rFonts w:ascii="Times New Roman" w:hAnsi="Times New Roman" w:cs="Times New Roman"/>
          <w:i/>
          <w:iCs/>
          <w:sz w:val="24"/>
          <w:szCs w:val="24"/>
        </w:rPr>
        <w:t>lib</w:t>
      </w:r>
      <w:r w:rsidR="004A487D" w:rsidRPr="004A487D">
        <w:rPr>
          <w:rFonts w:ascii="Times New Roman" w:hAnsi="Times New Roman" w:cs="Times New Roman"/>
          <w:i/>
          <w:iCs/>
          <w:sz w:val="24"/>
          <w:szCs w:val="24"/>
        </w:rPr>
        <w:t>rary research</w:t>
      </w:r>
      <w:r w:rsidR="004A487D">
        <w:rPr>
          <w:rFonts w:ascii="Times New Roman" w:hAnsi="Times New Roman" w:cs="Times New Roman"/>
          <w:sz w:val="24"/>
          <w:szCs w:val="24"/>
        </w:rPr>
        <w:t>)</w:t>
      </w:r>
      <w:r w:rsid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me</w:t>
      </w:r>
      <w:r w:rsidR="00DF1FD9">
        <w:rPr>
          <w:rFonts w:ascii="Times New Roman" w:hAnsi="Times New Roman" w:cs="Times New Roman"/>
          <w:sz w:val="24"/>
          <w:szCs w:val="24"/>
        </w:rPr>
        <w:t>nganalisis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autoritatif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literatur</w:t>
      </w:r>
      <w:r w:rsidR="005131FD">
        <w:rPr>
          <w:rFonts w:ascii="Times New Roman" w:hAnsi="Times New Roman" w:cs="Times New Roman"/>
          <w:sz w:val="24"/>
          <w:szCs w:val="24"/>
        </w:rPr>
        <w:t>-literatur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F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D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bersangkut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paut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C23CE0" w:rsidRPr="00C23C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513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dua</w:t>
      </w:r>
      <w:r w:rsidR="0051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 </w:t>
      </w:r>
      <w:r w:rsidR="00995CE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r w:rsidR="009D3187">
        <w:rPr>
          <w:rFonts w:ascii="Times New Roman" w:hAnsi="Times New Roman" w:cs="Times New Roman"/>
          <w:sz w:val="24"/>
          <w:szCs w:val="24"/>
        </w:rPr>
        <w:t>pada</w:t>
      </w:r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5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E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2B2" w:rsidRPr="00C23CE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9A12B2" w:rsidRPr="00C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2B2" w:rsidRPr="00C23CE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9A12B2">
        <w:rPr>
          <w:rFonts w:ascii="Times New Roman" w:hAnsi="Times New Roman" w:cs="Times New Roman"/>
          <w:sz w:val="24"/>
          <w:szCs w:val="24"/>
        </w:rPr>
        <w:t xml:space="preserve"> (</w:t>
      </w:r>
      <w:r w:rsidR="009A12B2" w:rsidRPr="00C23CE0">
        <w:rPr>
          <w:rFonts w:ascii="Times New Roman" w:hAnsi="Times New Roman" w:cs="Times New Roman"/>
          <w:i/>
          <w:iCs/>
          <w:sz w:val="24"/>
          <w:szCs w:val="24"/>
        </w:rPr>
        <w:t>statute approach</w:t>
      </w:r>
      <w:r w:rsidR="009A12B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07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CE0" w:rsidRPr="00C23CE0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C23CE0">
        <w:rPr>
          <w:rFonts w:ascii="Times New Roman" w:hAnsi="Times New Roman" w:cs="Times New Roman"/>
          <w:sz w:val="24"/>
          <w:szCs w:val="24"/>
        </w:rPr>
        <w:t xml:space="preserve"> (</w:t>
      </w:r>
      <w:r w:rsidR="00C23CE0" w:rsidRPr="00C23CE0">
        <w:rPr>
          <w:rFonts w:ascii="Times New Roman" w:hAnsi="Times New Roman" w:cs="Times New Roman"/>
          <w:i/>
          <w:iCs/>
          <w:sz w:val="24"/>
          <w:szCs w:val="24"/>
        </w:rPr>
        <w:t>conceptual approach</w:t>
      </w:r>
      <w:r w:rsidR="00C23CE0">
        <w:rPr>
          <w:rFonts w:ascii="Times New Roman" w:hAnsi="Times New Roman" w:cs="Times New Roman"/>
          <w:sz w:val="24"/>
          <w:szCs w:val="24"/>
        </w:rPr>
        <w:t>)</w:t>
      </w:r>
      <w:r w:rsidR="009A12B2">
        <w:rPr>
          <w:rFonts w:ascii="Times New Roman" w:hAnsi="Times New Roman" w:cs="Times New Roman"/>
          <w:sz w:val="24"/>
          <w:szCs w:val="24"/>
        </w:rPr>
        <w:t>.</w:t>
      </w:r>
    </w:p>
    <w:p w14:paraId="425540DA" w14:textId="29E64D62" w:rsidR="00E96433" w:rsidRPr="006D7116" w:rsidRDefault="00E96433" w:rsidP="009713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>HASIL PENELITIAN DAN PEMBAHASAN</w:t>
      </w:r>
    </w:p>
    <w:p w14:paraId="29E56A3D" w14:textId="4EB83BE8" w:rsidR="0019512C" w:rsidRPr="0019512C" w:rsidRDefault="006E2E77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7650880"/>
      <w:proofErr w:type="spellStart"/>
      <w:r w:rsidRPr="006E2E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erjadinya</w:t>
      </w:r>
      <w:r w:rsidRPr="006E2E7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di</w:t>
      </w:r>
      <w:r w:rsidR="004B1ED2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="004B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E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t>de</w:t>
      </w:r>
      <w:r w:rsidR="004D37A7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lastRenderedPageBreak/>
        <w:t>autentik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P</w:t>
      </w:r>
      <w:r w:rsidRPr="006E2E77">
        <w:rPr>
          <w:rFonts w:ascii="Times New Roman" w:hAnsi="Times New Roman" w:cs="Times New Roman"/>
          <w:sz w:val="24"/>
          <w:szCs w:val="24"/>
        </w:rPr>
        <w:t>erjanjian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6E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E7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4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pembiyaan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EC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64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pengikatan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>.</w:t>
      </w:r>
    </w:p>
    <w:p w14:paraId="61297ECC" w14:textId="2F268169" w:rsidR="0019512C" w:rsidRPr="0019512C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Gatot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Supramono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Muhammad Yusuf Ibrahim, pada proses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1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D37A7">
        <w:rPr>
          <w:rFonts w:ascii="Times New Roman" w:hAnsi="Times New Roman" w:cs="Times New Roman"/>
          <w:sz w:val="24"/>
          <w:szCs w:val="24"/>
        </w:rPr>
        <w:t xml:space="preserve"> dua</w:t>
      </w:r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18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</w:t>
      </w:r>
      <w:r w:rsidRPr="0019512C">
        <w:rPr>
          <w:rFonts w:ascii="Times New Roman" w:hAnsi="Times New Roman" w:cs="Times New Roman"/>
          <w:i/>
          <w:iCs/>
          <w:sz w:val="24"/>
          <w:szCs w:val="24"/>
        </w:rPr>
        <w:t xml:space="preserve">personal </w:t>
      </w:r>
      <w:r w:rsidR="004D37A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9512C">
        <w:rPr>
          <w:rFonts w:ascii="Times New Roman" w:hAnsi="Times New Roman" w:cs="Times New Roman"/>
          <w:i/>
          <w:iCs/>
          <w:sz w:val="24"/>
          <w:szCs w:val="24"/>
        </w:rPr>
        <w:t>uarantee</w:t>
      </w:r>
      <w:r w:rsidRPr="0019512C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7A7">
        <w:rPr>
          <w:rFonts w:ascii="Times New Roman" w:hAnsi="Times New Roman" w:cs="Times New Roman"/>
          <w:sz w:val="24"/>
          <w:szCs w:val="24"/>
        </w:rPr>
        <w:t>k</w:t>
      </w:r>
      <w:r w:rsidRPr="0019512C">
        <w:rPr>
          <w:rFonts w:ascii="Times New Roman" w:hAnsi="Times New Roman" w:cs="Times New Roman"/>
          <w:sz w:val="24"/>
          <w:szCs w:val="24"/>
        </w:rPr>
        <w:t>ebendaan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</w:t>
      </w:r>
      <w:r w:rsidRPr="0019512C">
        <w:rPr>
          <w:rFonts w:ascii="Times New Roman" w:hAnsi="Times New Roman" w:cs="Times New Roman"/>
          <w:i/>
          <w:iCs/>
          <w:sz w:val="24"/>
          <w:szCs w:val="24"/>
        </w:rPr>
        <w:t xml:space="preserve">personal </w:t>
      </w:r>
      <w:r w:rsidR="004D37A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9512C">
        <w:rPr>
          <w:rFonts w:ascii="Times New Roman" w:hAnsi="Times New Roman" w:cs="Times New Roman"/>
          <w:i/>
          <w:iCs/>
          <w:sz w:val="24"/>
          <w:szCs w:val="24"/>
        </w:rPr>
        <w:t>uarantee</w:t>
      </w:r>
      <w:r w:rsidRPr="0019512C">
        <w:rPr>
          <w:rFonts w:ascii="Times New Roman" w:hAnsi="Times New Roman" w:cs="Times New Roman"/>
          <w:sz w:val="24"/>
          <w:szCs w:val="24"/>
        </w:rPr>
        <w:t>)</w:t>
      </w:r>
      <w:r w:rsidR="004D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1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D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7A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pe</w:t>
      </w:r>
      <w:r w:rsidR="00AF2CB6">
        <w:rPr>
          <w:rFonts w:ascii="Times New Roman" w:hAnsi="Times New Roman" w:cs="Times New Roman"/>
          <w:sz w:val="24"/>
          <w:szCs w:val="24"/>
        </w:rPr>
        <w:t>rjanjian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r w:rsidR="004D37A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D37A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4D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7A7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d</w:t>
      </w:r>
      <w:r w:rsidR="004D37A7">
        <w:rPr>
          <w:rFonts w:ascii="Times New Roman" w:hAnsi="Times New Roman" w:cs="Times New Roman"/>
          <w:sz w:val="24"/>
          <w:szCs w:val="24"/>
        </w:rPr>
        <w:t>an</w:t>
      </w:r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j</w:t>
      </w:r>
      <w:r w:rsidR="00AF2CB6" w:rsidRPr="00AF2CB6">
        <w:rPr>
          <w:rFonts w:ascii="Times New Roman" w:hAnsi="Times New Roman" w:cs="Times New Roman"/>
          <w:sz w:val="24"/>
          <w:szCs w:val="24"/>
        </w:rPr>
        <w:t>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</w:t>
      </w:r>
      <w:r w:rsidR="00AF2CB6">
        <w:rPr>
          <w:rFonts w:ascii="Times New Roman" w:hAnsi="Times New Roman" w:cs="Times New Roman"/>
          <w:sz w:val="24"/>
          <w:szCs w:val="24"/>
        </w:rPr>
        <w:t>ergerak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</w:t>
      </w:r>
      <w:r w:rsidR="00AF2CB6">
        <w:rPr>
          <w:rFonts w:ascii="Times New Roman" w:hAnsi="Times New Roman" w:cs="Times New Roman"/>
          <w:sz w:val="24"/>
          <w:szCs w:val="24"/>
        </w:rPr>
        <w:t>ergerak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0FF253BF" w14:textId="6E3DFDF8" w:rsidR="0019512C" w:rsidRPr="0019512C" w:rsidRDefault="0019512C" w:rsidP="00543D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Muhammad Yusuf Ibrahim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</w:t>
      </w:r>
      <w:r w:rsidRPr="0019512C">
        <w:rPr>
          <w:rFonts w:ascii="Times New Roman" w:hAnsi="Times New Roman" w:cs="Times New Roman"/>
          <w:i/>
          <w:iCs/>
          <w:sz w:val="24"/>
          <w:szCs w:val="24"/>
        </w:rPr>
        <w:t>Personal Guarantee</w:t>
      </w:r>
      <w:r w:rsidRPr="001951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8DA">
        <w:rPr>
          <w:rFonts w:ascii="Times New Roman" w:hAnsi="Times New Roman" w:cs="Times New Roman"/>
          <w:sz w:val="24"/>
          <w:szCs w:val="24"/>
        </w:rPr>
        <w:t>j</w:t>
      </w:r>
      <w:r w:rsidR="00AF2CB6" w:rsidRPr="00AF2CB6">
        <w:rPr>
          <w:rFonts w:ascii="Times New Roman" w:hAnsi="Times New Roman" w:cs="Times New Roman"/>
          <w:sz w:val="24"/>
          <w:szCs w:val="24"/>
        </w:rPr>
        <w:t>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t</w:t>
      </w:r>
      <w:r w:rsidR="00AF2CB6" w:rsidRPr="00AF2CB6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D91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BBE">
        <w:rPr>
          <w:rFonts w:ascii="Times New Roman" w:hAnsi="Times New Roman" w:cs="Times New Roman"/>
          <w:sz w:val="24"/>
          <w:szCs w:val="24"/>
        </w:rPr>
        <w:t>s</w:t>
      </w:r>
      <w:r w:rsidRPr="0019512C">
        <w:rPr>
          <w:rFonts w:ascii="Times New Roman" w:hAnsi="Times New Roman" w:cs="Times New Roman"/>
          <w:sz w:val="24"/>
          <w:szCs w:val="24"/>
        </w:rPr>
        <w:t>edangkan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="002A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94C">
        <w:rPr>
          <w:rFonts w:ascii="Times New Roman" w:hAnsi="Times New Roman" w:cs="Times New Roman"/>
          <w:sz w:val="24"/>
          <w:szCs w:val="24"/>
        </w:rPr>
        <w:t>h</w:t>
      </w:r>
      <w:r w:rsidR="00AF2CB6" w:rsidRPr="00AF2CB6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4D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7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4A8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87D" w:rsidRPr="00AF2CB6">
        <w:rPr>
          <w:rFonts w:ascii="Times New Roman" w:hAnsi="Times New Roman" w:cs="Times New Roman"/>
          <w:i/>
          <w:iCs/>
          <w:sz w:val="24"/>
          <w:szCs w:val="24"/>
        </w:rPr>
        <w:t>zakelijk</w:t>
      </w:r>
      <w:proofErr w:type="spellEnd"/>
      <w:r w:rsidR="004A487D" w:rsidRPr="00AF2C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487D" w:rsidRPr="00AF2CB6">
        <w:rPr>
          <w:rFonts w:ascii="Times New Roman" w:hAnsi="Times New Roman" w:cs="Times New Roman"/>
          <w:i/>
          <w:iCs/>
          <w:sz w:val="24"/>
          <w:szCs w:val="24"/>
        </w:rPr>
        <w:t>recht</w:t>
      </w:r>
      <w:proofErr w:type="spellEnd"/>
      <w:r w:rsidR="004A487D" w:rsidRPr="00AF2CB6">
        <w:rPr>
          <w:rFonts w:ascii="Times New Roman" w:hAnsi="Times New Roman" w:cs="Times New Roman"/>
          <w:sz w:val="24"/>
          <w:szCs w:val="24"/>
        </w:rPr>
        <w:t xml:space="preserve"> </w:t>
      </w:r>
      <w:r w:rsidR="00AF2CB6" w:rsidRPr="00AF2C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8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A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87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4A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87D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pemegangnya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51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85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pun yang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r w:rsidR="00AF2CB6" w:rsidRPr="00AF2CB6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02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CB6" w:rsidRPr="00AF2CB6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r w:rsidR="00543D9B">
        <w:rPr>
          <w:rFonts w:ascii="Times New Roman" w:hAnsi="Times New Roman" w:cs="Times New Roman"/>
          <w:sz w:val="24"/>
          <w:szCs w:val="24"/>
        </w:rPr>
        <w:t>pada</w:t>
      </w:r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k</w:t>
      </w:r>
      <w:r w:rsidR="00AF2CB6" w:rsidRPr="00AF2CB6">
        <w:rPr>
          <w:rFonts w:ascii="Times New Roman" w:hAnsi="Times New Roman" w:cs="Times New Roman"/>
          <w:sz w:val="24"/>
          <w:szCs w:val="24"/>
        </w:rPr>
        <w:t>antor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p</w:t>
      </w:r>
      <w:r w:rsidR="00AF2CB6" w:rsidRPr="00AF2CB6">
        <w:rPr>
          <w:rFonts w:ascii="Times New Roman" w:hAnsi="Times New Roman" w:cs="Times New Roman"/>
          <w:sz w:val="24"/>
          <w:szCs w:val="24"/>
        </w:rPr>
        <w:t>endaftaran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j</w:t>
      </w:r>
      <w:r w:rsidR="00AF2CB6" w:rsidRPr="00AF2CB6">
        <w:rPr>
          <w:rFonts w:ascii="Times New Roman" w:hAnsi="Times New Roman" w:cs="Times New Roman"/>
          <w:sz w:val="24"/>
          <w:szCs w:val="24"/>
        </w:rPr>
        <w:t>aminan</w:t>
      </w:r>
      <w:proofErr w:type="spellEnd"/>
      <w:r w:rsidR="00AF2CB6" w:rsidRPr="00AF2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f</w:t>
      </w:r>
      <w:r w:rsidR="00AF2CB6" w:rsidRPr="00AF2CB6">
        <w:rPr>
          <w:rFonts w:ascii="Times New Roman" w:hAnsi="Times New Roman" w:cs="Times New Roman"/>
          <w:sz w:val="24"/>
          <w:szCs w:val="24"/>
        </w:rPr>
        <w:t>idusia</w:t>
      </w:r>
      <w:proofErr w:type="spellEnd"/>
      <w:r w:rsidR="00C46CD0">
        <w:rPr>
          <w:rFonts w:ascii="Times New Roman" w:hAnsi="Times New Roman" w:cs="Times New Roman"/>
          <w:sz w:val="24"/>
          <w:szCs w:val="24"/>
        </w:rPr>
        <w:t xml:space="preserve">. </w:t>
      </w:r>
      <w:r w:rsidR="00DD6746" w:rsidRPr="00DD6746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lastRenderedPageBreak/>
        <w:t>perjanjian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>,</w:t>
      </w:r>
      <w:r w:rsid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DD67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6746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11 UUJF.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4 UUJF,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ikutan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membebankan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DD6746" w:rsidRPr="00DD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746" w:rsidRPr="00DD674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543D9B" w:rsidRPr="00543D9B">
        <w:rPr>
          <w:rFonts w:ascii="Times New Roman" w:hAnsi="Times New Roman" w:cs="Times New Roman"/>
          <w:sz w:val="24"/>
          <w:szCs w:val="24"/>
        </w:rPr>
        <w:t xml:space="preserve">. </w:t>
      </w:r>
      <w:r w:rsidR="008F78CE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DD674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543D9B" w:rsidRPr="00543D9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543D9B" w:rsidRPr="00543D9B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543D9B" w:rsidRPr="00543D9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543D9B" w:rsidRPr="00543D9B">
        <w:rPr>
          <w:rFonts w:ascii="Times New Roman" w:hAnsi="Times New Roman" w:cs="Times New Roman"/>
          <w:sz w:val="24"/>
          <w:szCs w:val="24"/>
        </w:rPr>
        <w:t xml:space="preserve"> 15 </w:t>
      </w:r>
      <w:r w:rsidR="00543D9B">
        <w:rPr>
          <w:rFonts w:ascii="Times New Roman" w:hAnsi="Times New Roman" w:cs="Times New Roman"/>
          <w:sz w:val="24"/>
          <w:szCs w:val="24"/>
        </w:rPr>
        <w:t xml:space="preserve">UUJF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 w:rsidRPr="00543D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43D9B" w:rsidRP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 w:rsidRPr="00543D9B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543D9B" w:rsidRP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 w:rsidRPr="00543D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43D9B" w:rsidRP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 w:rsidRPr="00543D9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543D9B" w:rsidRP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 w:rsidRPr="00543D9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7D06E552" w14:textId="358F208F" w:rsidR="001D23AB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</w:t>
      </w:r>
      <w:r w:rsidR="00543D9B">
        <w:rPr>
          <w:rFonts w:ascii="Times New Roman" w:hAnsi="Times New Roman" w:cs="Times New Roman"/>
          <w:sz w:val="24"/>
          <w:szCs w:val="24"/>
        </w:rPr>
        <w:t>kataan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Belanda </w:t>
      </w:r>
      <w:r w:rsidR="00AF2CB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AF2CB6">
        <w:rPr>
          <w:rFonts w:ascii="Times New Roman" w:hAnsi="Times New Roman" w:cs="Times New Roman"/>
          <w:sz w:val="24"/>
          <w:szCs w:val="24"/>
        </w:rPr>
        <w:t xml:space="preserve"> </w:t>
      </w:r>
      <w:r w:rsidR="0039159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AF2CB6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2669"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buatnya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r w:rsidR="0039159A" w:rsidRPr="0039159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C46C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6CD0">
        <w:rPr>
          <w:rFonts w:ascii="Times New Roman" w:hAnsi="Times New Roman" w:cs="Times New Roman"/>
          <w:sz w:val="24"/>
          <w:szCs w:val="24"/>
        </w:rPr>
        <w:t>d</w:t>
      </w:r>
      <w:r w:rsidR="00543D9B">
        <w:rPr>
          <w:rFonts w:ascii="Times New Roman" w:hAnsi="Times New Roman" w:cs="Times New Roman"/>
          <w:sz w:val="24"/>
          <w:szCs w:val="24"/>
        </w:rPr>
        <w:t>iperbuat</w:t>
      </w:r>
      <w:proofErr w:type="spellEnd"/>
      <w:r w:rsidR="00C46CD0">
        <w:rPr>
          <w:rFonts w:ascii="Times New Roman" w:hAnsi="Times New Roman" w:cs="Times New Roman"/>
          <w:sz w:val="24"/>
          <w:szCs w:val="24"/>
        </w:rPr>
        <w:t xml:space="preserve"> oleh </w:t>
      </w:r>
      <w:r w:rsidR="00543D9B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di</w:t>
      </w:r>
      <w:r w:rsidR="0039159A">
        <w:rPr>
          <w:rFonts w:ascii="Times New Roman" w:hAnsi="Times New Roman" w:cs="Times New Roman"/>
          <w:sz w:val="24"/>
          <w:szCs w:val="24"/>
        </w:rPr>
        <w:t>cantumkan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074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D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39159A"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59A" w:rsidRPr="003915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6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D1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p</w:t>
      </w:r>
      <w:r w:rsidR="001D23AB" w:rsidRPr="001D23A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1243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K</w:t>
      </w:r>
      <w:r w:rsidR="001D23AB">
        <w:rPr>
          <w:rFonts w:ascii="Times New Roman" w:hAnsi="Times New Roman" w:cs="Times New Roman"/>
          <w:sz w:val="24"/>
          <w:szCs w:val="24"/>
        </w:rPr>
        <w:t>UH</w:t>
      </w:r>
      <w:r w:rsidR="001D23AB" w:rsidRPr="001D23AB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>,</w:t>
      </w:r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melalaikan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perikatannya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>.</w:t>
      </w:r>
    </w:p>
    <w:p w14:paraId="7337B85A" w14:textId="4B986066" w:rsidR="0019512C" w:rsidRPr="0019512C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2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02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9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p</w:t>
      </w:r>
      <w:r w:rsidRPr="0019512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1238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4851">
        <w:rPr>
          <w:rFonts w:ascii="Times New Roman" w:hAnsi="Times New Roman" w:cs="Times New Roman"/>
          <w:sz w:val="24"/>
          <w:szCs w:val="24"/>
        </w:rPr>
        <w:t>men</w:t>
      </w:r>
      <w:r w:rsidR="004D37A7">
        <w:rPr>
          <w:rFonts w:ascii="Times New Roman" w:hAnsi="Times New Roman" w:cs="Times New Roman"/>
          <w:sz w:val="24"/>
          <w:szCs w:val="24"/>
        </w:rPr>
        <w:t>yatakan</w:t>
      </w:r>
      <w:proofErr w:type="spellEnd"/>
      <w:r w:rsidR="0004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>
        <w:rPr>
          <w:rFonts w:ascii="Times New Roman" w:hAnsi="Times New Roman" w:cs="Times New Roman"/>
          <w:sz w:val="24"/>
          <w:szCs w:val="24"/>
        </w:rPr>
        <w:t>d</w:t>
      </w:r>
      <w:r w:rsidR="00971378" w:rsidRPr="00971378">
        <w:rPr>
          <w:rFonts w:ascii="Times New Roman" w:hAnsi="Times New Roman" w:cs="Times New Roman"/>
          <w:sz w:val="24"/>
          <w:szCs w:val="24"/>
        </w:rPr>
        <w:t>ebitur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 w:rsidRPr="00971378">
        <w:rPr>
          <w:rFonts w:ascii="Times New Roman" w:hAnsi="Times New Roman" w:cs="Times New Roman"/>
          <w:sz w:val="24"/>
          <w:szCs w:val="24"/>
        </w:rPr>
        <w:t>berlalu</w:t>
      </w:r>
      <w:proofErr w:type="spellEnd"/>
      <w:r w:rsidR="00971378" w:rsidRPr="00971378">
        <w:rPr>
          <w:rFonts w:ascii="Times New Roman" w:hAnsi="Times New Roman" w:cs="Times New Roman"/>
          <w:sz w:val="24"/>
          <w:szCs w:val="24"/>
        </w:rPr>
        <w:t>.</w:t>
      </w:r>
      <w:r w:rsidR="00044851" w:rsidRPr="0004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89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7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p</w:t>
      </w:r>
      <w:r w:rsidRPr="0019512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1238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89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74896">
        <w:rPr>
          <w:rFonts w:ascii="Times New Roman" w:hAnsi="Times New Roman" w:cs="Times New Roman"/>
          <w:sz w:val="24"/>
          <w:szCs w:val="24"/>
        </w:rPr>
        <w:t xml:space="preserve"> </w:t>
      </w:r>
      <w:r w:rsidRPr="0019512C">
        <w:rPr>
          <w:rFonts w:ascii="Times New Roman" w:hAnsi="Times New Roman" w:cs="Times New Roman"/>
          <w:sz w:val="24"/>
          <w:szCs w:val="24"/>
        </w:rPr>
        <w:t xml:space="preserve">dua </w:t>
      </w:r>
      <w:proofErr w:type="spellStart"/>
      <w:r w:rsidR="004D37A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896"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tenggat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074896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896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74896">
        <w:rPr>
          <w:rFonts w:ascii="Times New Roman" w:hAnsi="Times New Roman" w:cs="Times New Roman"/>
          <w:i/>
          <w:iCs/>
          <w:sz w:val="24"/>
          <w:szCs w:val="24"/>
        </w:rPr>
        <w:t>edua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k</w:t>
      </w:r>
      <w:r w:rsidR="001D23AB" w:rsidRPr="001D23AB">
        <w:rPr>
          <w:rFonts w:ascii="Times New Roman" w:hAnsi="Times New Roman" w:cs="Times New Roman"/>
          <w:sz w:val="24"/>
          <w:szCs w:val="24"/>
        </w:rPr>
        <w:t>reditur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m</w:t>
      </w:r>
      <w:r w:rsidR="004D37A7">
        <w:rPr>
          <w:rFonts w:ascii="Times New Roman" w:hAnsi="Times New Roman" w:cs="Times New Roman"/>
          <w:sz w:val="24"/>
          <w:szCs w:val="24"/>
        </w:rPr>
        <w:t>em</w:t>
      </w:r>
      <w:r w:rsidR="001D23AB" w:rsidRPr="001D23AB">
        <w:rPr>
          <w:rFonts w:ascii="Times New Roman" w:hAnsi="Times New Roman" w:cs="Times New Roman"/>
          <w:sz w:val="24"/>
          <w:szCs w:val="24"/>
        </w:rPr>
        <w:t>peringat</w:t>
      </w:r>
      <w:r w:rsidR="004D37A7">
        <w:rPr>
          <w:rFonts w:ascii="Times New Roman" w:hAnsi="Times New Roman" w:cs="Times New Roman"/>
          <w:sz w:val="24"/>
          <w:szCs w:val="24"/>
        </w:rPr>
        <w:t>k</w:t>
      </w:r>
      <w:r w:rsidR="001D23AB" w:rsidRPr="001D23A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 w:rsidRPr="001D23A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D23AB" w:rsidRPr="001D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prestasinya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14:paraId="3BA858CB" w14:textId="07C08672" w:rsidR="0019512C" w:rsidRPr="0019512C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12C">
        <w:rPr>
          <w:rFonts w:ascii="Times New Roman" w:hAnsi="Times New Roman" w:cs="Times New Roman"/>
          <w:sz w:val="24"/>
          <w:szCs w:val="24"/>
        </w:rPr>
        <w:lastRenderedPageBreak/>
        <w:t xml:space="preserve">Setiawan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B7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AB">
        <w:rPr>
          <w:rFonts w:ascii="Times New Roman" w:hAnsi="Times New Roman" w:cs="Times New Roman"/>
          <w:sz w:val="24"/>
          <w:szCs w:val="24"/>
        </w:rPr>
        <w:t>t</w:t>
      </w:r>
      <w:r w:rsidRPr="0019512C">
        <w:rPr>
          <w:rFonts w:ascii="Times New Roman" w:hAnsi="Times New Roman" w:cs="Times New Roman"/>
          <w:sz w:val="24"/>
          <w:szCs w:val="24"/>
        </w:rPr>
        <w:t>erdiri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9E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378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9E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mel</w:t>
      </w:r>
      <w:r w:rsidR="0087719E">
        <w:rPr>
          <w:rFonts w:ascii="Times New Roman" w:hAnsi="Times New Roman" w:cs="Times New Roman"/>
          <w:sz w:val="24"/>
          <w:szCs w:val="24"/>
        </w:rPr>
        <w:t>aksanakan</w:t>
      </w:r>
      <w:proofErr w:type="spellEnd"/>
      <w:r w:rsidR="0087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Pr="0019512C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i/>
          <w:iCs/>
          <w:sz w:val="24"/>
          <w:szCs w:val="24"/>
        </w:rPr>
        <w:t>somatie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B73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7346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9B7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9B7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6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812FF" w:rsidRPr="001812F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812FF" w:rsidRPr="001812FF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34694" w14:textId="0533EB30" w:rsidR="0019512C" w:rsidRPr="0019512C" w:rsidRDefault="0039159A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59A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somasi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prestasinya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lalai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6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6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98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FF">
        <w:rPr>
          <w:rFonts w:ascii="Times New Roman" w:hAnsi="Times New Roman" w:cs="Times New Roman"/>
          <w:sz w:val="24"/>
          <w:szCs w:val="24"/>
        </w:rPr>
        <w:t>prestasinya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di</w:t>
      </w:r>
      <w:r w:rsidR="001812FF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54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Mariam Darus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Badrulzaman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>,</w:t>
      </w:r>
      <w:r w:rsidR="0018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tenggat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>.</w:t>
      </w:r>
      <w:r w:rsidR="0019512C"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somasi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dua (2)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(3) kali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>
        <w:rPr>
          <w:rFonts w:ascii="Times New Roman" w:hAnsi="Times New Roman" w:cs="Times New Roman"/>
          <w:sz w:val="24"/>
          <w:szCs w:val="24"/>
        </w:rPr>
        <w:t>prestasi</w:t>
      </w:r>
      <w:r w:rsidR="00CA1AB4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7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7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diklarifikasikan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>.</w:t>
      </w:r>
      <w:r w:rsidR="0019512C"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14:paraId="2F9765A5" w14:textId="625A3F85" w:rsidR="0019512C" w:rsidRPr="0019512C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(3) UUJF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kesewenang-wenangan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i/>
          <w:iCs/>
          <w:sz w:val="24"/>
          <w:szCs w:val="24"/>
        </w:rPr>
        <w:t>parate</w:t>
      </w:r>
      <w:proofErr w:type="spellEnd"/>
      <w:r w:rsidRPr="00195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i/>
          <w:iCs/>
          <w:sz w:val="24"/>
          <w:szCs w:val="24"/>
        </w:rPr>
        <w:t>executie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lastRenderedPageBreak/>
        <w:t>pasal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(2) dan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(3) UUJF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18/PUU/-XVII/2019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87D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(3) UUJF.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19512C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9813B7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19512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813B7" w:rsidRPr="0019512C">
        <w:rPr>
          <w:rFonts w:ascii="Times New Roman" w:hAnsi="Times New Roman" w:cs="Times New Roman"/>
          <w:sz w:val="24"/>
          <w:szCs w:val="24"/>
        </w:rPr>
        <w:t xml:space="preserve"> 18/PUU/-XVII/2019</w:t>
      </w:r>
      <w:r w:rsidR="009813B7" w:rsidRPr="00981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E6C">
        <w:rPr>
          <w:rFonts w:ascii="Times New Roman" w:hAnsi="Times New Roman" w:cs="Times New Roman"/>
          <w:sz w:val="24"/>
          <w:szCs w:val="24"/>
        </w:rPr>
        <w:t>p</w:t>
      </w:r>
      <w:r w:rsidR="00B57E6C" w:rsidRPr="00B57E6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(3) UUJF</w:t>
      </w:r>
      <w:r w:rsid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ED2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4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r w:rsidR="004B1ED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B1ED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4B1E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mela</w:t>
      </w:r>
      <w:r w:rsidR="004B1ED2">
        <w:rPr>
          <w:rFonts w:ascii="Times New Roman" w:hAnsi="Times New Roman" w:cs="Times New Roman"/>
          <w:sz w:val="24"/>
          <w:szCs w:val="24"/>
        </w:rPr>
        <w:t>ksanakan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B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D9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23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6C" w:rsidRPr="00B57E6C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B57E6C" w:rsidRPr="00B57E6C">
        <w:rPr>
          <w:rFonts w:ascii="Times New Roman" w:hAnsi="Times New Roman" w:cs="Times New Roman"/>
          <w:sz w:val="24"/>
          <w:szCs w:val="24"/>
        </w:rPr>
        <w:t>.</w:t>
      </w:r>
      <w:r w:rsidR="004F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8C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571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28">
        <w:rPr>
          <w:rFonts w:ascii="Times New Roman" w:hAnsi="Times New Roman" w:cs="Times New Roman"/>
          <w:sz w:val="24"/>
          <w:szCs w:val="24"/>
        </w:rPr>
        <w:t>p</w:t>
      </w:r>
      <w:r w:rsidR="009813B7" w:rsidRPr="009813B7">
        <w:rPr>
          <w:rFonts w:ascii="Times New Roman" w:hAnsi="Times New Roman" w:cs="Times New Roman"/>
          <w:sz w:val="24"/>
          <w:szCs w:val="24"/>
        </w:rPr>
        <w:t>utusan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18/PUU/-XVII/2019,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fras</w:t>
      </w:r>
      <w:r w:rsidR="00DF1FD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67B15">
        <w:rPr>
          <w:rFonts w:ascii="Times New Roman" w:hAnsi="Times New Roman" w:cs="Times New Roman"/>
          <w:sz w:val="24"/>
          <w:szCs w:val="24"/>
        </w:rPr>
        <w:t xml:space="preserve"> </w:t>
      </w:r>
      <w:r w:rsidR="009813B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813B7" w:rsidRPr="009813B7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9813B7" w:rsidRPr="009813B7">
        <w:rPr>
          <w:rFonts w:ascii="Times New Roman" w:hAnsi="Times New Roman" w:cs="Times New Roman"/>
          <w:sz w:val="24"/>
          <w:szCs w:val="24"/>
        </w:rPr>
        <w:t>.</w:t>
      </w:r>
    </w:p>
    <w:p w14:paraId="5E234886" w14:textId="0E0CD3C5" w:rsidR="0019512C" w:rsidRPr="0019512C" w:rsidRDefault="0039159A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menegaska</w:t>
      </w:r>
      <w:r w:rsidR="003F209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pertimbangannya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(</w:t>
      </w:r>
      <w:r w:rsidRPr="003F209C">
        <w:rPr>
          <w:rFonts w:ascii="Times New Roman" w:hAnsi="Times New Roman" w:cs="Times New Roman"/>
          <w:i/>
          <w:iCs/>
          <w:sz w:val="24"/>
          <w:szCs w:val="24"/>
        </w:rPr>
        <w:t>ratio decidendi</w:t>
      </w:r>
      <w:r w:rsidRPr="003915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r w:rsidR="003F209C">
        <w:rPr>
          <w:rFonts w:ascii="Times New Roman" w:hAnsi="Times New Roman" w:cs="Times New Roman"/>
          <w:sz w:val="24"/>
          <w:szCs w:val="24"/>
        </w:rPr>
        <w:t>(</w:t>
      </w:r>
      <w:r w:rsidRPr="0039159A">
        <w:rPr>
          <w:rFonts w:ascii="Times New Roman" w:hAnsi="Times New Roman" w:cs="Times New Roman"/>
          <w:sz w:val="24"/>
          <w:szCs w:val="24"/>
        </w:rPr>
        <w:t>3.16</w:t>
      </w:r>
      <w:r w:rsidR="003F209C">
        <w:rPr>
          <w:rFonts w:ascii="Times New Roman" w:hAnsi="Times New Roman" w:cs="Times New Roman"/>
          <w:sz w:val="24"/>
          <w:szCs w:val="24"/>
        </w:rPr>
        <w:t>)</w:t>
      </w:r>
      <w:r w:rsidRPr="0039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r w:rsidR="002B5030">
        <w:rPr>
          <w:rFonts w:ascii="Times New Roman" w:hAnsi="Times New Roman" w:cs="Times New Roman"/>
          <w:sz w:val="24"/>
          <w:szCs w:val="24"/>
        </w:rPr>
        <w:t xml:space="preserve">norma yang </w:t>
      </w:r>
      <w:proofErr w:type="spellStart"/>
      <w:r w:rsidR="002B5030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r w:rsidR="001E3885">
        <w:rPr>
          <w:rFonts w:ascii="Times New Roman" w:hAnsi="Times New Roman" w:cs="Times New Roman"/>
          <w:sz w:val="24"/>
          <w:szCs w:val="24"/>
        </w:rPr>
        <w:t>pada</w:t>
      </w:r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9159A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(3) UUJF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ED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m</w:t>
      </w:r>
      <w:r w:rsidRPr="0039159A">
        <w:rPr>
          <w:rFonts w:ascii="Times New Roman" w:hAnsi="Times New Roman" w:cs="Times New Roman"/>
          <w:sz w:val="24"/>
          <w:szCs w:val="24"/>
        </w:rPr>
        <w:t>enentuan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d</w:t>
      </w:r>
      <w:r w:rsidR="001852B7">
        <w:rPr>
          <w:rFonts w:ascii="Times New Roman" w:hAnsi="Times New Roman" w:cs="Times New Roman"/>
          <w:sz w:val="24"/>
          <w:szCs w:val="24"/>
        </w:rPr>
        <w:t>inyatakan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59A">
        <w:rPr>
          <w:rFonts w:ascii="Times New Roman" w:hAnsi="Times New Roman" w:cs="Times New Roman"/>
          <w:sz w:val="24"/>
          <w:szCs w:val="24"/>
        </w:rPr>
        <w:t>me</w:t>
      </w:r>
      <w:r w:rsidR="009E14E4">
        <w:rPr>
          <w:rFonts w:ascii="Times New Roman" w:hAnsi="Times New Roman" w:cs="Times New Roman"/>
          <w:sz w:val="24"/>
          <w:szCs w:val="24"/>
        </w:rPr>
        <w:t>mutuskannya</w:t>
      </w:r>
      <w:proofErr w:type="spellEnd"/>
      <w:r w:rsidRPr="0039159A">
        <w:rPr>
          <w:rFonts w:ascii="Times New Roman" w:hAnsi="Times New Roman" w:cs="Times New Roman"/>
          <w:sz w:val="24"/>
          <w:szCs w:val="24"/>
        </w:rPr>
        <w:t xml:space="preserve">. </w:t>
      </w:r>
      <w:r w:rsidR="003F209C" w:rsidRPr="003F209C">
        <w:rPr>
          <w:rFonts w:ascii="Times New Roman" w:hAnsi="Times New Roman" w:cs="Times New Roman"/>
          <w:sz w:val="24"/>
          <w:szCs w:val="24"/>
        </w:rPr>
        <w:t xml:space="preserve">Ketidakjelasan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norma </w:t>
      </w:r>
      <w:r w:rsidR="003F209C" w:rsidRPr="003F209C">
        <w:rPr>
          <w:rFonts w:ascii="Times New Roman" w:hAnsi="Times New Roman" w:cs="Times New Roman"/>
          <w:i/>
          <w:iCs/>
          <w:sz w:val="24"/>
          <w:szCs w:val="24"/>
        </w:rPr>
        <w:t>a quo</w:t>
      </w:r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10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>.</w:t>
      </w:r>
    </w:p>
    <w:p w14:paraId="0AA237DE" w14:textId="28894575" w:rsidR="0019512C" w:rsidRPr="0019512C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norma </w:t>
      </w:r>
      <w:r w:rsidR="001852B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F78C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F78C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852B7">
        <w:rPr>
          <w:rFonts w:ascii="Times New Roman" w:hAnsi="Times New Roman" w:cs="Times New Roman"/>
          <w:sz w:val="24"/>
          <w:szCs w:val="24"/>
        </w:rPr>
        <w:t>p</w:t>
      </w:r>
      <w:r w:rsidRPr="0019512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(3) UUJF juga</w:t>
      </w:r>
      <w:r w:rsid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AB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CA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8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E38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388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1E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konstitusionalitas</w:t>
      </w:r>
      <w:proofErr w:type="spellEnd"/>
      <w:r w:rsidR="004B1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ED2">
        <w:rPr>
          <w:rFonts w:ascii="Times New Roman" w:hAnsi="Times New Roman" w:cs="Times New Roman"/>
          <w:sz w:val="24"/>
          <w:szCs w:val="24"/>
        </w:rPr>
        <w:t>turunan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r w:rsidR="005F4E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F4E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2B7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p</w:t>
      </w:r>
      <w:r w:rsidR="003F209C" w:rsidRPr="003F209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(2) UUJF.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k</w:t>
      </w:r>
      <w:r w:rsidRPr="0019512C">
        <w:rPr>
          <w:rFonts w:ascii="Times New Roman" w:hAnsi="Times New Roman" w:cs="Times New Roman"/>
          <w:sz w:val="24"/>
          <w:szCs w:val="24"/>
        </w:rPr>
        <w:t>etidakpastian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10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r w:rsidR="003F209C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E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9E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dilunasi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E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9C" w:rsidRPr="003F209C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3F209C" w:rsidRPr="003F209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ketidakjelasan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r w:rsidR="00C370C4">
        <w:rPr>
          <w:rFonts w:ascii="Times New Roman" w:hAnsi="Times New Roman" w:cs="Times New Roman"/>
          <w:sz w:val="24"/>
          <w:szCs w:val="24"/>
        </w:rPr>
        <w:t xml:space="preserve">norma </w:t>
      </w:r>
      <w:r w:rsidR="00C370C4" w:rsidRPr="00C370C4">
        <w:rPr>
          <w:rFonts w:ascii="Times New Roman" w:hAnsi="Times New Roman" w:cs="Times New Roman"/>
          <w:i/>
          <w:iCs/>
          <w:sz w:val="24"/>
          <w:szCs w:val="24"/>
        </w:rPr>
        <w:t>a quo</w:t>
      </w:r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F008BA">
        <w:rPr>
          <w:rFonts w:ascii="Times New Roman" w:hAnsi="Times New Roman" w:cs="Times New Roman"/>
          <w:sz w:val="24"/>
          <w:szCs w:val="24"/>
        </w:rPr>
        <w:t xml:space="preserve"> </w:t>
      </w:r>
      <w:r w:rsidR="00F8014B" w:rsidRPr="00F8014B">
        <w:rPr>
          <w:rFonts w:ascii="Times New Roman" w:hAnsi="Times New Roman" w:cs="Times New Roman"/>
          <w:sz w:val="24"/>
          <w:szCs w:val="24"/>
        </w:rPr>
        <w:t>dan</w:t>
      </w:r>
      <w:r w:rsidR="009E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9E14E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lastRenderedPageBreak/>
        <w:t>kehilangan</w:t>
      </w:r>
      <w:proofErr w:type="spellEnd"/>
      <w:r w:rsidR="00C3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E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3B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r w:rsidR="00C370C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3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14:paraId="0C45E471" w14:textId="0A09B090" w:rsidR="0019512C" w:rsidRPr="0019512C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(3.17)</w:t>
      </w:r>
      <w:r w:rsidR="0054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k</w:t>
      </w:r>
      <w:r w:rsidR="00F8014B" w:rsidRPr="00F8014B">
        <w:rPr>
          <w:rFonts w:ascii="Times New Roman" w:hAnsi="Times New Roman" w:cs="Times New Roman"/>
          <w:sz w:val="24"/>
          <w:szCs w:val="24"/>
        </w:rPr>
        <w:t>reditur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Sederhananya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wanprest</w:t>
      </w:r>
      <w:r w:rsidR="00F8014B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C3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>.</w:t>
      </w:r>
    </w:p>
    <w:p w14:paraId="70597DA4" w14:textId="5CBBCBB0" w:rsidR="0019512C" w:rsidRPr="0019512C" w:rsidRDefault="005F4E10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E10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kegagalannya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jaminannya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mela</w:t>
      </w:r>
      <w:r w:rsidR="00C370C4">
        <w:rPr>
          <w:rFonts w:ascii="Times New Roman" w:hAnsi="Times New Roman" w:cs="Times New Roman"/>
          <w:sz w:val="24"/>
          <w:szCs w:val="24"/>
        </w:rPr>
        <w:t>ksanakan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E10">
        <w:rPr>
          <w:rFonts w:ascii="Times New Roman" w:hAnsi="Times New Roman" w:cs="Times New Roman"/>
          <w:i/>
          <w:iCs/>
          <w:sz w:val="24"/>
          <w:szCs w:val="24"/>
        </w:rPr>
        <w:t>parate</w:t>
      </w:r>
      <w:proofErr w:type="spellEnd"/>
      <w:r w:rsidRPr="005F4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E10">
        <w:rPr>
          <w:rFonts w:ascii="Times New Roman" w:hAnsi="Times New Roman" w:cs="Times New Roman"/>
          <w:i/>
          <w:iCs/>
          <w:sz w:val="24"/>
          <w:szCs w:val="24"/>
        </w:rPr>
        <w:t>executie</w:t>
      </w:r>
      <w:proofErr w:type="spellEnd"/>
      <w:r w:rsidRPr="005F4E1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480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480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0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480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0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BAB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3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8014B">
        <w:rPr>
          <w:rFonts w:ascii="Times New Roman" w:hAnsi="Times New Roman" w:cs="Times New Roman"/>
          <w:i/>
          <w:iCs/>
          <w:sz w:val="24"/>
          <w:szCs w:val="24"/>
        </w:rPr>
        <w:t>parate</w:t>
      </w:r>
      <w:proofErr w:type="spellEnd"/>
      <w:r w:rsidR="00F008BA" w:rsidRPr="00F801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08BA" w:rsidRPr="00F8014B">
        <w:rPr>
          <w:rFonts w:ascii="Times New Roman" w:hAnsi="Times New Roman" w:cs="Times New Roman"/>
          <w:i/>
          <w:iCs/>
          <w:sz w:val="24"/>
          <w:szCs w:val="24"/>
        </w:rPr>
        <w:t>executie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. </w:t>
      </w:r>
      <w:r w:rsidR="009E14E4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00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di</w:t>
      </w:r>
      <w:r w:rsidR="00F8014B" w:rsidRPr="00F8014B">
        <w:rPr>
          <w:rFonts w:ascii="Times New Roman" w:hAnsi="Times New Roman" w:cs="Times New Roman"/>
          <w:sz w:val="24"/>
          <w:szCs w:val="24"/>
        </w:rPr>
        <w:t>harus</w:t>
      </w:r>
      <w:r w:rsidR="00C370C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="00C3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C37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0C4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</w:t>
      </w:r>
      <w:r w:rsidR="00C370C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negeri</w:t>
      </w:r>
      <w:r w:rsidR="00F008BA">
        <w:rPr>
          <w:rFonts w:ascii="Times New Roman" w:hAnsi="Times New Roman" w:cs="Times New Roman"/>
          <w:sz w:val="24"/>
          <w:szCs w:val="24"/>
        </w:rPr>
        <w:t xml:space="preserve"> (</w:t>
      </w:r>
      <w:r w:rsidR="00F008BA">
        <w:rPr>
          <w:rFonts w:ascii="Times New Roman" w:hAnsi="Times New Roman" w:cs="Times New Roman"/>
          <w:i/>
          <w:iCs/>
          <w:sz w:val="24"/>
          <w:szCs w:val="24"/>
        </w:rPr>
        <w:t>fiat</w:t>
      </w:r>
      <w:r w:rsidR="00F008BA" w:rsidRPr="00F801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08BA" w:rsidRPr="00F8014B">
        <w:rPr>
          <w:rFonts w:ascii="Times New Roman" w:hAnsi="Times New Roman" w:cs="Times New Roman"/>
          <w:i/>
          <w:iCs/>
          <w:sz w:val="24"/>
          <w:szCs w:val="24"/>
        </w:rPr>
        <w:t>executie</w:t>
      </w:r>
      <w:proofErr w:type="spellEnd"/>
      <w:r w:rsidR="00F008B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8014B" w:rsidRPr="00F80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14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>.</w:t>
      </w:r>
      <w:r w:rsidR="0019512C"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14:paraId="3435FE6E" w14:textId="48ACB2CB" w:rsidR="0019512C" w:rsidRPr="0019512C" w:rsidRDefault="0019512C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(3.18)</w:t>
      </w:r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9474B">
        <w:rPr>
          <w:rFonts w:ascii="Times New Roman" w:hAnsi="Times New Roman" w:cs="Times New Roman"/>
          <w:sz w:val="24"/>
          <w:szCs w:val="24"/>
        </w:rPr>
        <w:t>,</w:t>
      </w:r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>
        <w:rPr>
          <w:rFonts w:ascii="Times New Roman" w:hAnsi="Times New Roman" w:cs="Times New Roman"/>
          <w:sz w:val="24"/>
          <w:szCs w:val="24"/>
        </w:rPr>
        <w:t>p</w:t>
      </w:r>
      <w:r w:rsidR="00F008BA" w:rsidRPr="00F008BA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(3) UUJF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konstitusional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di</w:t>
      </w:r>
      <w:r w:rsidR="005F4E10">
        <w:rPr>
          <w:rFonts w:ascii="Times New Roman" w:hAnsi="Times New Roman" w:cs="Times New Roman"/>
          <w:sz w:val="24"/>
          <w:szCs w:val="24"/>
        </w:rPr>
        <w:t>artikan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fras</w:t>
      </w:r>
      <w:r w:rsidR="00DF1FD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dite</w:t>
      </w:r>
      <w:r w:rsidR="00480BAB">
        <w:rPr>
          <w:rFonts w:ascii="Times New Roman" w:hAnsi="Times New Roman" w:cs="Times New Roman"/>
          <w:sz w:val="24"/>
          <w:szCs w:val="24"/>
        </w:rPr>
        <w:t>tapkan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1449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49D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D7">
        <w:rPr>
          <w:rFonts w:ascii="Times New Roman" w:hAnsi="Times New Roman" w:cs="Times New Roman"/>
          <w:sz w:val="24"/>
          <w:szCs w:val="24"/>
        </w:rPr>
        <w:t>di</w:t>
      </w:r>
      <w:r w:rsidR="00F008BA" w:rsidRPr="00F008B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23551">
        <w:rPr>
          <w:rFonts w:ascii="Times New Roman" w:hAnsi="Times New Roman" w:cs="Times New Roman"/>
          <w:sz w:val="24"/>
          <w:szCs w:val="24"/>
        </w:rPr>
        <w:t xml:space="preserve"> </w:t>
      </w:r>
      <w:r w:rsidR="00F67B1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F67B1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1E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54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>
        <w:rPr>
          <w:rFonts w:ascii="Times New Roman" w:hAnsi="Times New Roman" w:cs="Times New Roman"/>
          <w:sz w:val="24"/>
          <w:szCs w:val="24"/>
        </w:rPr>
        <w:t>d</w:t>
      </w:r>
      <w:r w:rsidR="00467980">
        <w:rPr>
          <w:rFonts w:ascii="Times New Roman" w:hAnsi="Times New Roman" w:cs="Times New Roman"/>
          <w:sz w:val="24"/>
          <w:szCs w:val="24"/>
        </w:rPr>
        <w:t>i</w:t>
      </w:r>
      <w:r w:rsidR="00F008BA">
        <w:rPr>
          <w:rFonts w:ascii="Times New Roman" w:hAnsi="Times New Roman" w:cs="Times New Roman"/>
          <w:sz w:val="24"/>
          <w:szCs w:val="24"/>
        </w:rPr>
        <w:t>per</w:t>
      </w:r>
      <w:r w:rsidR="00467980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="0046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B" w:rsidRPr="00F8014B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54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F8014B"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 w:rsidRPr="0054256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42562" w:rsidRPr="00542562">
        <w:rPr>
          <w:rFonts w:ascii="Times New Roman" w:hAnsi="Times New Roman" w:cs="Times New Roman"/>
          <w:sz w:val="24"/>
          <w:szCs w:val="24"/>
        </w:rPr>
        <w:t xml:space="preserve"> 18/PUU/-XVII/2019</w:t>
      </w:r>
      <w:r w:rsidR="00F8014B" w:rsidRPr="00F8014B">
        <w:rPr>
          <w:rFonts w:ascii="Times New Roman" w:hAnsi="Times New Roman" w:cs="Times New Roman"/>
          <w:sz w:val="24"/>
          <w:szCs w:val="24"/>
        </w:rPr>
        <w:t>.</w:t>
      </w:r>
      <w:r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14:paraId="166E9390" w14:textId="43118475" w:rsidR="0019512C" w:rsidRPr="0019512C" w:rsidRDefault="00F8014B" w:rsidP="001951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14B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980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54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9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="0054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putusannya</w:t>
      </w:r>
      <w:proofErr w:type="spellEnd"/>
      <w:r w:rsid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13E12">
        <w:rPr>
          <w:rFonts w:ascii="Times New Roman" w:hAnsi="Times New Roman" w:cs="Times New Roman"/>
          <w:sz w:val="24"/>
          <w:szCs w:val="24"/>
        </w:rPr>
        <w:t>,</w:t>
      </w:r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p</w:t>
      </w:r>
      <w:r w:rsidRPr="00F8014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(2) UU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8014B">
        <w:rPr>
          <w:rFonts w:ascii="Times New Roman" w:hAnsi="Times New Roman" w:cs="Times New Roman"/>
          <w:sz w:val="24"/>
          <w:szCs w:val="24"/>
        </w:rPr>
        <w:t xml:space="preserve">F yang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fras</w:t>
      </w:r>
      <w:r w:rsidR="00DF1FD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s</w:t>
      </w:r>
      <w:r w:rsidR="005131FD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D5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yang</w:t>
      </w:r>
      <w:r w:rsidR="008F7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FA">
        <w:rPr>
          <w:rFonts w:ascii="Times New Roman" w:hAnsi="Times New Roman" w:cs="Times New Roman"/>
          <w:sz w:val="24"/>
          <w:szCs w:val="24"/>
        </w:rPr>
        <w:t>ber</w:t>
      </w:r>
      <w:r w:rsidR="00480BA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r w:rsidR="00D52AE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fras</w:t>
      </w:r>
      <w:r w:rsidR="00DF1FD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5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D5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="001E3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85">
        <w:rPr>
          <w:rFonts w:ascii="Times New Roman" w:hAnsi="Times New Roman" w:cs="Times New Roman"/>
          <w:sz w:val="24"/>
          <w:szCs w:val="24"/>
        </w:rPr>
        <w:t>inkonstituanalitas</w:t>
      </w:r>
      <w:proofErr w:type="spellEnd"/>
      <w:r w:rsid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>
        <w:rPr>
          <w:rFonts w:ascii="Times New Roman" w:hAnsi="Times New Roman" w:cs="Times New Roman"/>
          <w:sz w:val="24"/>
          <w:szCs w:val="24"/>
        </w:rPr>
        <w:t>sehinga</w:t>
      </w:r>
      <w:proofErr w:type="spellEnd"/>
      <w:r w:rsid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mem</w:t>
      </w:r>
      <w:r w:rsidR="008F7AFA">
        <w:rPr>
          <w:rFonts w:ascii="Times New Roman" w:hAnsi="Times New Roman" w:cs="Times New Roman"/>
          <w:sz w:val="24"/>
          <w:szCs w:val="24"/>
        </w:rPr>
        <w:t>iliki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di</w:t>
      </w:r>
      <w:r w:rsidR="002B0B22">
        <w:rPr>
          <w:rFonts w:ascii="Times New Roman" w:hAnsi="Times New Roman" w:cs="Times New Roman"/>
          <w:sz w:val="24"/>
          <w:szCs w:val="24"/>
        </w:rPr>
        <w:t>artikan</w:t>
      </w:r>
      <w:proofErr w:type="spellEnd"/>
      <w:r w:rsidR="00A2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7C2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="007C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9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6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9E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B6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9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B6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D4F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9E">
        <w:rPr>
          <w:rFonts w:ascii="Times New Roman" w:hAnsi="Times New Roman" w:cs="Times New Roman"/>
          <w:sz w:val="24"/>
          <w:szCs w:val="24"/>
        </w:rPr>
        <w:t>di</w:t>
      </w:r>
      <w:r w:rsidR="007C77C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C77C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7C77C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7C77C2">
        <w:rPr>
          <w:rFonts w:ascii="Times New Roman" w:hAnsi="Times New Roman" w:cs="Times New Roman"/>
          <w:sz w:val="24"/>
          <w:szCs w:val="24"/>
        </w:rPr>
        <w:t xml:space="preserve"> </w:t>
      </w:r>
      <w:r w:rsidRPr="00F8014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berkeberatan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B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B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F8014B">
        <w:rPr>
          <w:rFonts w:ascii="Times New Roman" w:hAnsi="Times New Roman" w:cs="Times New Roman"/>
          <w:sz w:val="24"/>
          <w:szCs w:val="24"/>
        </w:rPr>
        <w:t>.</w:t>
      </w:r>
      <w:r w:rsidR="002B0B22">
        <w:rPr>
          <w:rFonts w:ascii="Times New Roman" w:hAnsi="Times New Roman" w:cs="Times New Roman"/>
          <w:sz w:val="24"/>
          <w:szCs w:val="24"/>
        </w:rPr>
        <w:t xml:space="preserve"> Maka </w:t>
      </w:r>
      <w:proofErr w:type="spellStart"/>
      <w:r w:rsidR="002B0B22">
        <w:rPr>
          <w:rFonts w:ascii="Times New Roman" w:hAnsi="Times New Roman" w:cs="Times New Roman"/>
          <w:sz w:val="24"/>
          <w:szCs w:val="24"/>
        </w:rPr>
        <w:t>p</w:t>
      </w:r>
      <w:r w:rsidR="008A2878">
        <w:rPr>
          <w:rFonts w:ascii="Times New Roman" w:hAnsi="Times New Roman" w:cs="Times New Roman"/>
          <w:sz w:val="24"/>
          <w:szCs w:val="24"/>
        </w:rPr>
        <w:t>elaksanaan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e</w:t>
      </w:r>
      <w:r w:rsidR="00F008BA" w:rsidRPr="00F008BA">
        <w:rPr>
          <w:rFonts w:ascii="Times New Roman" w:hAnsi="Times New Roman" w:cs="Times New Roman"/>
          <w:sz w:val="24"/>
          <w:szCs w:val="24"/>
        </w:rPr>
        <w:t>ksekusi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43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A2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57BB9">
        <w:rPr>
          <w:rFonts w:ascii="Times New Roman" w:hAnsi="Times New Roman" w:cs="Times New Roman"/>
          <w:sz w:val="24"/>
          <w:szCs w:val="24"/>
        </w:rPr>
        <w:t xml:space="preserve"> </w:t>
      </w:r>
      <w:r w:rsidR="00557BB9">
        <w:rPr>
          <w:rFonts w:ascii="Times New Roman" w:hAnsi="Times New Roman" w:cs="Times New Roman"/>
          <w:i/>
          <w:iCs/>
          <w:sz w:val="24"/>
          <w:szCs w:val="24"/>
        </w:rPr>
        <w:t>fiat</w:t>
      </w:r>
      <w:r w:rsidR="00557BB9" w:rsidRPr="00F801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7BB9" w:rsidRPr="00F8014B">
        <w:rPr>
          <w:rFonts w:ascii="Times New Roman" w:hAnsi="Times New Roman" w:cs="Times New Roman"/>
          <w:i/>
          <w:iCs/>
          <w:sz w:val="24"/>
          <w:szCs w:val="24"/>
        </w:rPr>
        <w:t>executie</w:t>
      </w:r>
      <w:proofErr w:type="spellEnd"/>
      <w:r w:rsidR="00557BB9" w:rsidRPr="00F008BA">
        <w:rPr>
          <w:rFonts w:ascii="Times New Roman" w:hAnsi="Times New Roman" w:cs="Times New Roman"/>
          <w:sz w:val="24"/>
          <w:szCs w:val="24"/>
        </w:rPr>
        <w:t xml:space="preserve"> </w:t>
      </w:r>
      <w:r w:rsidR="00F008BA" w:rsidRPr="00F008B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57BB9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="00557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B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57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B9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557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B9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557BB9">
        <w:rPr>
          <w:rFonts w:ascii="Times New Roman" w:hAnsi="Times New Roman" w:cs="Times New Roman"/>
          <w:sz w:val="24"/>
          <w:szCs w:val="24"/>
        </w:rPr>
        <w:t xml:space="preserve"> yang</w:t>
      </w:r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B22" w:rsidRPr="0052138F">
        <w:rPr>
          <w:rFonts w:ascii="Times New Roman" w:hAnsi="Times New Roman" w:cs="Times New Roman"/>
          <w:i/>
          <w:iCs/>
          <w:sz w:val="24"/>
          <w:szCs w:val="24"/>
        </w:rPr>
        <w:t>inkracht</w:t>
      </w:r>
      <w:proofErr w:type="spellEnd"/>
      <w:r w:rsidR="002B0B22" w:rsidRPr="0052138F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="002B0B22" w:rsidRPr="0052138F">
        <w:rPr>
          <w:rFonts w:ascii="Times New Roman" w:hAnsi="Times New Roman" w:cs="Times New Roman"/>
          <w:i/>
          <w:iCs/>
          <w:sz w:val="24"/>
          <w:szCs w:val="24"/>
        </w:rPr>
        <w:t>gewijsde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08BA" w:rsidRPr="00F008B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F008BA" w:rsidRPr="00F008BA">
        <w:rPr>
          <w:rFonts w:ascii="Times New Roman" w:hAnsi="Times New Roman" w:cs="Times New Roman"/>
          <w:sz w:val="24"/>
          <w:szCs w:val="24"/>
        </w:rPr>
        <w:t>.</w:t>
      </w:r>
      <w:r w:rsidRPr="00F8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2B0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B22">
        <w:rPr>
          <w:rFonts w:ascii="Times New Roman" w:hAnsi="Times New Roman" w:cs="Times New Roman"/>
          <w:sz w:val="24"/>
          <w:szCs w:val="24"/>
        </w:rPr>
        <w:t>inkonstituanalitas</w:t>
      </w:r>
      <w:proofErr w:type="spellEnd"/>
      <w:r w:rsidR="00F92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2DF">
        <w:rPr>
          <w:rFonts w:ascii="Times New Roman" w:hAnsi="Times New Roman" w:cs="Times New Roman"/>
          <w:sz w:val="24"/>
          <w:szCs w:val="24"/>
        </w:rPr>
        <w:t>a</w:t>
      </w:r>
      <w:r w:rsidR="002D0462">
        <w:rPr>
          <w:rFonts w:ascii="Times New Roman" w:hAnsi="Times New Roman" w:cs="Times New Roman"/>
          <w:sz w:val="24"/>
          <w:szCs w:val="24"/>
        </w:rPr>
        <w:t>kibatnya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fras</w:t>
      </w:r>
      <w:r w:rsidR="00B6329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mem</w:t>
      </w:r>
      <w:r w:rsidR="002B5030">
        <w:rPr>
          <w:rFonts w:ascii="Times New Roman" w:hAnsi="Times New Roman" w:cs="Times New Roman"/>
          <w:sz w:val="24"/>
          <w:szCs w:val="24"/>
        </w:rPr>
        <w:t>iliki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A2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4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2D046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D0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66" w:rsidRPr="007A78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melalu</w:t>
      </w:r>
      <w:r w:rsidR="007A7866" w:rsidRPr="007A78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55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057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7A7866" w:rsidRPr="007A7866">
        <w:rPr>
          <w:rFonts w:ascii="Times New Roman" w:hAnsi="Times New Roman" w:cs="Times New Roman"/>
          <w:sz w:val="24"/>
          <w:szCs w:val="24"/>
        </w:rPr>
        <w:t>.</w:t>
      </w:r>
    </w:p>
    <w:p w14:paraId="0BF7FEF9" w14:textId="4DEC9FC8" w:rsidR="0052138F" w:rsidRDefault="0052138F" w:rsidP="005213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38F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eksekutorial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p</w:t>
      </w:r>
      <w:r w:rsidRPr="0052138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(3) UUJF.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18/PUU/-XVII/2019,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bersyarat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final dan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r w:rsidR="002B0B2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542562">
        <w:rPr>
          <w:rFonts w:ascii="Times New Roman" w:hAnsi="Times New Roman" w:cs="Times New Roman"/>
          <w:sz w:val="24"/>
          <w:szCs w:val="24"/>
        </w:rPr>
        <w:t>p</w:t>
      </w:r>
      <w:r w:rsidRPr="0052138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(3) UUJF, </w:t>
      </w:r>
      <w:proofErr w:type="spellStart"/>
      <w:r w:rsidR="00A212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2124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A2124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2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F9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7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B2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D2A6E">
        <w:rPr>
          <w:rFonts w:ascii="Times New Roman" w:hAnsi="Times New Roman" w:cs="Times New Roman"/>
          <w:i/>
          <w:iCs/>
          <w:sz w:val="24"/>
          <w:szCs w:val="24"/>
        </w:rPr>
        <w:t>ertama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r w:rsidR="0001009D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0100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B0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0B22">
        <w:rPr>
          <w:rFonts w:ascii="Times New Roman" w:hAnsi="Times New Roman" w:cs="Times New Roman"/>
          <w:sz w:val="24"/>
          <w:szCs w:val="24"/>
        </w:rPr>
        <w:t>k</w:t>
      </w:r>
      <w:r w:rsidRPr="002D2A6E">
        <w:rPr>
          <w:rFonts w:ascii="Times New Roman" w:hAnsi="Times New Roman" w:cs="Times New Roman"/>
          <w:i/>
          <w:iCs/>
          <w:sz w:val="24"/>
          <w:szCs w:val="24"/>
        </w:rPr>
        <w:t>edua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52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8F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96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0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6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095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4F489C">
        <w:rPr>
          <w:rFonts w:ascii="Times New Roman" w:hAnsi="Times New Roman" w:cs="Times New Roman"/>
          <w:sz w:val="24"/>
          <w:szCs w:val="24"/>
        </w:rPr>
        <w:t>.</w:t>
      </w:r>
    </w:p>
    <w:p w14:paraId="51095A60" w14:textId="442EF25B" w:rsidR="0019512C" w:rsidRPr="0019512C" w:rsidRDefault="0001009D" w:rsidP="002D2A6E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r w:rsidR="00557BB9">
        <w:rPr>
          <w:rFonts w:ascii="Times New Roman" w:hAnsi="Times New Roman" w:cs="Times New Roman"/>
          <w:sz w:val="24"/>
          <w:szCs w:val="24"/>
        </w:rPr>
        <w:t>pada</w:t>
      </w:r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</w:t>
      </w:r>
      <w:r w:rsidR="00D52AEC">
        <w:rPr>
          <w:rFonts w:ascii="Times New Roman" w:hAnsi="Times New Roman" w:cs="Times New Roman"/>
          <w:sz w:val="24"/>
          <w:szCs w:val="24"/>
        </w:rPr>
        <w:t>laksankan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D5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>.</w:t>
      </w:r>
      <w:r w:rsidR="0019512C" w:rsidRPr="0019512C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18/PUU/-XVII/2019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berkontrak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klausul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keadaan-keadaan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lastRenderedPageBreak/>
        <w:t>dilakukan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C" w:rsidRPr="001951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512C" w:rsidRPr="0019512C">
        <w:rPr>
          <w:rFonts w:ascii="Times New Roman" w:hAnsi="Times New Roman" w:cs="Times New Roman"/>
          <w:i/>
          <w:iCs/>
          <w:sz w:val="24"/>
          <w:szCs w:val="24"/>
        </w:rPr>
        <w:t>inkracht</w:t>
      </w:r>
      <w:proofErr w:type="spellEnd"/>
      <w:r w:rsidR="0019512C" w:rsidRPr="0019512C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="0019512C" w:rsidRPr="0019512C">
        <w:rPr>
          <w:rFonts w:ascii="Times New Roman" w:hAnsi="Times New Roman" w:cs="Times New Roman"/>
          <w:i/>
          <w:iCs/>
          <w:sz w:val="24"/>
          <w:szCs w:val="24"/>
        </w:rPr>
        <w:t>gewijsde</w:t>
      </w:r>
      <w:proofErr w:type="spellEnd"/>
      <w:r w:rsidR="0019512C" w:rsidRPr="0019512C">
        <w:rPr>
          <w:rFonts w:ascii="Times New Roman" w:hAnsi="Times New Roman" w:cs="Times New Roman"/>
          <w:sz w:val="24"/>
          <w:szCs w:val="24"/>
        </w:rPr>
        <w:t>).</w:t>
      </w:r>
    </w:p>
    <w:bookmarkEnd w:id="8"/>
    <w:p w14:paraId="0FEBF1C2" w14:textId="4531F6CE" w:rsidR="00197A13" w:rsidRPr="006D7116" w:rsidRDefault="00621C27" w:rsidP="006D71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4FD2F6CA" w14:textId="43C2460B" w:rsidR="0019512C" w:rsidRPr="0019512C" w:rsidRDefault="0019512C" w:rsidP="0019512C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9512C">
        <w:rPr>
          <w:rFonts w:ascii="Times New Roman" w:hAnsi="Times New Roman" w:cs="Times New Roman"/>
          <w:sz w:val="24"/>
          <w:szCs w:val="24"/>
        </w:rPr>
        <w:t>arakteristik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r w:rsidR="009A12B2">
        <w:rPr>
          <w:rFonts w:ascii="Times New Roman" w:hAnsi="Times New Roman" w:cs="Times New Roman"/>
          <w:sz w:val="24"/>
          <w:szCs w:val="24"/>
        </w:rPr>
        <w:t>pada</w:t>
      </w:r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1A">
        <w:rPr>
          <w:rFonts w:ascii="Times New Roman" w:hAnsi="Times New Roman" w:cs="Times New Roman"/>
          <w:sz w:val="24"/>
          <w:szCs w:val="24"/>
        </w:rPr>
        <w:t>m</w:t>
      </w:r>
      <w:r w:rsidR="00D52AEC">
        <w:rPr>
          <w:rFonts w:ascii="Times New Roman" w:hAnsi="Times New Roman" w:cs="Times New Roman"/>
          <w:sz w:val="24"/>
          <w:szCs w:val="24"/>
        </w:rPr>
        <w:t>elaksankan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B4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1A">
        <w:rPr>
          <w:rFonts w:ascii="Times New Roman" w:hAnsi="Times New Roman" w:cs="Times New Roman"/>
          <w:sz w:val="24"/>
          <w:szCs w:val="24"/>
        </w:rPr>
        <w:t>m</w:t>
      </w:r>
      <w:r w:rsidR="00D52AEC">
        <w:rPr>
          <w:rFonts w:ascii="Times New Roman" w:hAnsi="Times New Roman" w:cs="Times New Roman"/>
          <w:sz w:val="24"/>
          <w:szCs w:val="24"/>
        </w:rPr>
        <w:t>elaksankan</w:t>
      </w:r>
      <w:proofErr w:type="spellEnd"/>
      <w:r w:rsidR="00B4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A1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18/PUU/-XVII/2019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E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r w:rsidR="00F67B1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F67B1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berkontrak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klausul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keadaan-keadaan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2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4F489C" w:rsidRPr="004F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 w:rsidRPr="0019512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4F489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4F489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 w:rsidRPr="0019512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4F489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 w:rsidRPr="0019512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F489C" w:rsidRPr="0019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89C" w:rsidRPr="001951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4F489C" w:rsidRPr="001951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489C" w:rsidRPr="0019512C">
        <w:rPr>
          <w:rFonts w:ascii="Times New Roman" w:hAnsi="Times New Roman" w:cs="Times New Roman"/>
          <w:i/>
          <w:iCs/>
          <w:sz w:val="24"/>
          <w:szCs w:val="24"/>
        </w:rPr>
        <w:t>inkracht</w:t>
      </w:r>
      <w:proofErr w:type="spellEnd"/>
      <w:r w:rsidR="004F489C" w:rsidRPr="0019512C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="004F489C" w:rsidRPr="0019512C">
        <w:rPr>
          <w:rFonts w:ascii="Times New Roman" w:hAnsi="Times New Roman" w:cs="Times New Roman"/>
          <w:i/>
          <w:iCs/>
          <w:sz w:val="24"/>
          <w:szCs w:val="24"/>
        </w:rPr>
        <w:t>gewijsde</w:t>
      </w:r>
      <w:proofErr w:type="spellEnd"/>
      <w:r w:rsidR="004F489C" w:rsidRPr="0019512C">
        <w:rPr>
          <w:rFonts w:ascii="Times New Roman" w:hAnsi="Times New Roman" w:cs="Times New Roman"/>
          <w:sz w:val="24"/>
          <w:szCs w:val="24"/>
        </w:rPr>
        <w:t>).</w:t>
      </w:r>
    </w:p>
    <w:p w14:paraId="57D87F77" w14:textId="279ECC14" w:rsidR="00F67EEF" w:rsidRPr="006D7116" w:rsidRDefault="00197A13" w:rsidP="006D71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116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70688B87" w14:textId="54E427A3" w:rsidR="00F75A65" w:rsidRPr="00F75A65" w:rsidRDefault="00197A13" w:rsidP="00F75A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</w:p>
    <w:p w14:paraId="75BDAAA8" w14:textId="77777777" w:rsidR="00F75A65" w:rsidRPr="006D7116" w:rsidRDefault="00F75A65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Ibrahim, </w:t>
      </w:r>
      <w:r w:rsidRPr="006D7116">
        <w:rPr>
          <w:rFonts w:ascii="Times New Roman" w:hAnsi="Times New Roman" w:cs="Times New Roman"/>
          <w:sz w:val="24"/>
          <w:szCs w:val="24"/>
        </w:rPr>
        <w:t>Muhammad Yusuf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711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Karakteristik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Rahasia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Dagang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Sebagai Hak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Kebendaan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Situbondo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Bahlish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Publishing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8EF89" w14:textId="77777777" w:rsidR="00F75A65" w:rsidRPr="006D7116" w:rsidRDefault="00F75A65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Nasihin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7116">
        <w:rPr>
          <w:rFonts w:ascii="Times New Roman" w:hAnsi="Times New Roman" w:cs="Times New Roman"/>
          <w:sz w:val="24"/>
          <w:szCs w:val="24"/>
        </w:rPr>
        <w:t>Miranda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7116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segala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>. Yogyakarta: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1A2206" w14:textId="77777777" w:rsidR="00F75A65" w:rsidRPr="006D7116" w:rsidRDefault="00F75A65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sz w:val="24"/>
          <w:szCs w:val="24"/>
        </w:rPr>
        <w:t>Nasokha</w:t>
      </w:r>
      <w:proofErr w:type="spellEnd"/>
      <w:r>
        <w:rPr>
          <w:rFonts w:ascii="Times New Roman" w:hAnsi="Times New Roman" w:cs="Times New Roman"/>
          <w:sz w:val="24"/>
          <w:szCs w:val="24"/>
        </w:rPr>
        <w:t>., &amp;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Vitayanty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7116">
        <w:rPr>
          <w:rFonts w:ascii="Times New Roman" w:hAnsi="Times New Roman" w:cs="Times New Roman"/>
          <w:sz w:val="24"/>
          <w:szCs w:val="24"/>
        </w:rPr>
        <w:t>Ganis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711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Eksekusi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Jaminan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Fidusia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Akibat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Debitur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Wanprestasi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7116">
        <w:rPr>
          <w:rFonts w:ascii="Times New Roman" w:hAnsi="Times New Roman" w:cs="Times New Roman"/>
          <w:sz w:val="24"/>
          <w:szCs w:val="24"/>
        </w:rPr>
        <w:t>Damera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98366B" w14:textId="77777777" w:rsidR="00F75A65" w:rsidRPr="006D7116" w:rsidRDefault="00F75A65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sz w:val="24"/>
          <w:szCs w:val="24"/>
        </w:rPr>
        <w:t>Salim,</w:t>
      </w:r>
      <w:r>
        <w:rPr>
          <w:rFonts w:ascii="Times New Roman" w:hAnsi="Times New Roman" w:cs="Times New Roman"/>
          <w:sz w:val="24"/>
          <w:szCs w:val="24"/>
        </w:rPr>
        <w:t xml:space="preserve"> H.S.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711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Kontrak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Perjanjian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Pinjaman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dan Hibah</w:t>
      </w:r>
      <w:r>
        <w:rPr>
          <w:rFonts w:ascii="Times New Roman" w:hAnsi="Times New Roman" w:cs="Times New Roman"/>
          <w:sz w:val="24"/>
          <w:szCs w:val="24"/>
        </w:rPr>
        <w:t>. Jakarta: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6C729F" w14:textId="77777777" w:rsidR="00F75A65" w:rsidRPr="006D7116" w:rsidRDefault="00F75A65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sz w:val="24"/>
          <w:szCs w:val="24"/>
        </w:rPr>
        <w:t>Sarwono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711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Hukum Acara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Perdata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Teori dan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763019" w14:textId="77777777" w:rsidR="00F75A65" w:rsidRPr="006D7116" w:rsidRDefault="00F75A65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sz w:val="24"/>
          <w:szCs w:val="24"/>
        </w:rPr>
        <w:t xml:space="preserve">Setiawan, </w:t>
      </w:r>
      <w:r>
        <w:rPr>
          <w:rFonts w:ascii="Times New Roman" w:hAnsi="Times New Roman" w:cs="Times New Roman"/>
          <w:sz w:val="24"/>
          <w:szCs w:val="24"/>
        </w:rPr>
        <w:t>R. (</w:t>
      </w:r>
      <w:r w:rsidRPr="006D7116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Pokok-Pokok</w:t>
      </w:r>
      <w:proofErr w:type="spellEnd"/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Perikatan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Bandung:</w:t>
      </w:r>
      <w:r w:rsidRPr="006D7116">
        <w:rPr>
          <w:rFonts w:ascii="Times New Roman" w:hAnsi="Times New Roman" w:cs="Times New Roman"/>
          <w:sz w:val="24"/>
          <w:szCs w:val="24"/>
        </w:rPr>
        <w:t xml:space="preserve"> Bina Ci</w:t>
      </w:r>
      <w:r>
        <w:rPr>
          <w:rFonts w:ascii="Times New Roman" w:hAnsi="Times New Roman" w:cs="Times New Roman"/>
          <w:sz w:val="24"/>
          <w:szCs w:val="24"/>
        </w:rPr>
        <w:t>pta.</w:t>
      </w:r>
    </w:p>
    <w:p w14:paraId="74203679" w14:textId="77777777" w:rsidR="00F75A65" w:rsidRPr="007F0C37" w:rsidRDefault="00F75A65" w:rsidP="00F75A65">
      <w:pPr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0C37">
        <w:rPr>
          <w:rFonts w:ascii="Times New Roman" w:hAnsi="Times New Roman" w:cs="Times New Roman"/>
          <w:sz w:val="24"/>
          <w:szCs w:val="24"/>
        </w:rPr>
        <w:t>Subagiyo</w:t>
      </w:r>
      <w:proofErr w:type="spellEnd"/>
      <w:r w:rsidRPr="007F0C37">
        <w:rPr>
          <w:rFonts w:ascii="Times New Roman" w:hAnsi="Times New Roman" w:cs="Times New Roman"/>
          <w:sz w:val="24"/>
          <w:szCs w:val="24"/>
        </w:rPr>
        <w:t xml:space="preserve">, Dwi Tatak. (2018). </w:t>
      </w:r>
      <w:r w:rsidRPr="007F0C37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7F0C37">
        <w:rPr>
          <w:rFonts w:ascii="Times New Roman" w:hAnsi="Times New Roman" w:cs="Times New Roman"/>
          <w:i/>
          <w:iCs/>
          <w:sz w:val="24"/>
          <w:szCs w:val="24"/>
        </w:rPr>
        <w:t>Jaminan</w:t>
      </w:r>
      <w:proofErr w:type="spellEnd"/>
      <w:r w:rsidRPr="007F0C37">
        <w:rPr>
          <w:rFonts w:ascii="Times New Roman" w:hAnsi="Times New Roman" w:cs="Times New Roman"/>
          <w:i/>
          <w:iCs/>
          <w:sz w:val="24"/>
          <w:szCs w:val="24"/>
        </w:rPr>
        <w:t xml:space="preserve"> Dalam </w:t>
      </w:r>
      <w:proofErr w:type="spellStart"/>
      <w:r w:rsidRPr="007F0C37">
        <w:rPr>
          <w:rFonts w:ascii="Times New Roman" w:hAnsi="Times New Roman" w:cs="Times New Roman"/>
          <w:i/>
          <w:iCs/>
          <w:sz w:val="24"/>
          <w:szCs w:val="24"/>
        </w:rPr>
        <w:t>Presfektif</w:t>
      </w:r>
      <w:proofErr w:type="spellEnd"/>
      <w:r w:rsidRPr="007F0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0C37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7F0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0C37">
        <w:rPr>
          <w:rFonts w:ascii="Times New Roman" w:hAnsi="Times New Roman" w:cs="Times New Roman"/>
          <w:i/>
          <w:iCs/>
          <w:sz w:val="24"/>
          <w:szCs w:val="24"/>
        </w:rPr>
        <w:t>Jaminan</w:t>
      </w:r>
      <w:proofErr w:type="spellEnd"/>
      <w:r w:rsidRPr="007F0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0C37">
        <w:rPr>
          <w:rFonts w:ascii="Times New Roman" w:hAnsi="Times New Roman" w:cs="Times New Roman"/>
          <w:i/>
          <w:iCs/>
          <w:sz w:val="24"/>
          <w:szCs w:val="24"/>
        </w:rPr>
        <w:t>Fidusia</w:t>
      </w:r>
      <w:proofErr w:type="spellEnd"/>
      <w:r w:rsidRPr="007F0C3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F0C37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7F0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0C37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7F0C3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F0C37">
        <w:rPr>
          <w:rFonts w:ascii="Times New Roman" w:hAnsi="Times New Roman" w:cs="Times New Roman"/>
          <w:sz w:val="24"/>
          <w:szCs w:val="24"/>
        </w:rPr>
        <w:t>. Surabaya: UWKS Press.</w:t>
      </w:r>
    </w:p>
    <w:p w14:paraId="3AF189FD" w14:textId="4FD18D41" w:rsidR="007F0C37" w:rsidRPr="006D7116" w:rsidRDefault="00F75A65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sz w:val="24"/>
          <w:szCs w:val="24"/>
        </w:rPr>
        <w:t>Sunaryo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711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Hukum Lembaga </w:t>
      </w:r>
      <w:proofErr w:type="spellStart"/>
      <w:r w:rsidRPr="006D7116">
        <w:rPr>
          <w:rFonts w:ascii="Times New Roman" w:hAnsi="Times New Roman" w:cs="Times New Roman"/>
          <w:i/>
          <w:i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12DE64" w14:textId="06FBFB1D" w:rsidR="00F67EEF" w:rsidRPr="006D7116" w:rsidRDefault="00197A13" w:rsidP="006D71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Perundang-undangan</w:t>
      </w:r>
      <w:proofErr w:type="spellEnd"/>
    </w:p>
    <w:p w14:paraId="3133CD73" w14:textId="3524C5D0" w:rsidR="000F5B37" w:rsidRPr="006D7116" w:rsidRDefault="000F5B37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7F0C37">
        <w:rPr>
          <w:rFonts w:ascii="Times New Roman" w:hAnsi="Times New Roman" w:cs="Times New Roman"/>
          <w:sz w:val="24"/>
          <w:szCs w:val="24"/>
        </w:rPr>
        <w:t>.</w:t>
      </w:r>
    </w:p>
    <w:p w14:paraId="3D2CCC7B" w14:textId="5EC5962D" w:rsidR="000F5B37" w:rsidRPr="006D7116" w:rsidRDefault="000F5B37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Fidusia</w:t>
      </w:r>
      <w:proofErr w:type="spellEnd"/>
      <w:r w:rsidR="007F0C37">
        <w:rPr>
          <w:rFonts w:ascii="Times New Roman" w:hAnsi="Times New Roman" w:cs="Times New Roman"/>
          <w:sz w:val="24"/>
          <w:szCs w:val="24"/>
        </w:rPr>
        <w:t>.</w:t>
      </w:r>
    </w:p>
    <w:p w14:paraId="65B1BFFC" w14:textId="5D1F1F7A" w:rsidR="000F5B37" w:rsidRPr="006D7116" w:rsidRDefault="000F5B37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352AC9">
        <w:rPr>
          <w:rFonts w:ascii="Times New Roman" w:hAnsi="Times New Roman" w:cs="Times New Roman"/>
          <w:sz w:val="24"/>
          <w:szCs w:val="24"/>
        </w:rPr>
        <w:t>.</w:t>
      </w:r>
    </w:p>
    <w:p w14:paraId="14CE9716" w14:textId="0E077114" w:rsidR="000F5B37" w:rsidRPr="006D7116" w:rsidRDefault="000F5B37" w:rsidP="00F75A6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47/POJK.05/2020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Usaha dan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352AC9">
        <w:rPr>
          <w:rFonts w:ascii="Times New Roman" w:hAnsi="Times New Roman" w:cs="Times New Roman"/>
          <w:sz w:val="24"/>
          <w:szCs w:val="24"/>
        </w:rPr>
        <w:t>.</w:t>
      </w:r>
    </w:p>
    <w:p w14:paraId="4A531B25" w14:textId="4E89B301" w:rsidR="00F67EEF" w:rsidRDefault="000F5B37" w:rsidP="00F75A6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1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7116">
        <w:rPr>
          <w:rFonts w:ascii="Times New Roman" w:hAnsi="Times New Roman" w:cs="Times New Roman"/>
          <w:sz w:val="24"/>
          <w:szCs w:val="24"/>
        </w:rPr>
        <w:t xml:space="preserve"> 18/PUU-XVII/2019</w:t>
      </w:r>
      <w:r w:rsidR="00352AC9">
        <w:rPr>
          <w:rFonts w:ascii="Times New Roman" w:hAnsi="Times New Roman" w:cs="Times New Roman"/>
          <w:sz w:val="24"/>
          <w:szCs w:val="24"/>
        </w:rPr>
        <w:t>.</w:t>
      </w:r>
    </w:p>
    <w:p w14:paraId="3C8B0DA4" w14:textId="77777777" w:rsidR="00F75A65" w:rsidRPr="006D7116" w:rsidRDefault="00F75A65" w:rsidP="00F75A6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2857381" w14:textId="6927E8C7" w:rsidR="00F67EEF" w:rsidRPr="006D7116" w:rsidRDefault="00197A13" w:rsidP="006D71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</w:p>
    <w:p w14:paraId="78656AD7" w14:textId="68027A6A" w:rsidR="005B4FE7" w:rsidRPr="006D7116" w:rsidRDefault="00FF5D9E" w:rsidP="006D7116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7116">
        <w:rPr>
          <w:rFonts w:ascii="Times New Roman" w:hAnsi="Times New Roman" w:cs="Times New Roman"/>
          <w:sz w:val="24"/>
          <w:szCs w:val="24"/>
        </w:rPr>
        <w:t>Nugraha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="00197A13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sz w:val="24"/>
          <w:szCs w:val="24"/>
        </w:rPr>
        <w:t>Nurhadi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197A13"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197A13"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Rahmawati, </w:t>
      </w:r>
      <w:proofErr w:type="spellStart"/>
      <w:r w:rsidR="00197A13" w:rsidRPr="006D7116">
        <w:rPr>
          <w:rFonts w:ascii="Times New Roman" w:hAnsi="Times New Roman" w:cs="Times New Roman"/>
          <w:sz w:val="24"/>
          <w:szCs w:val="24"/>
        </w:rPr>
        <w:t>Nurlaili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97A13" w:rsidRPr="006D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97A13" w:rsidRPr="006D711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97A13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Ciderai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Janji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wanprestasi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Perjanjian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Fidusia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Pasal 15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ayat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(3) UU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42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1999 Pasca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Putusan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Mahkamah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18/PUU-XVII/2019 dan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Putusan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Mahkamah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="00197A13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2/PUU-XIX/2021</w:t>
      </w:r>
      <w:r w:rsidR="00197A13" w:rsidRPr="006D7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A13" w:rsidRPr="006D711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197A13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A13" w:rsidRPr="006D711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97A13" w:rsidRPr="006D7116">
        <w:rPr>
          <w:rFonts w:ascii="Times New Roman" w:hAnsi="Times New Roman" w:cs="Times New Roman"/>
          <w:sz w:val="24"/>
          <w:szCs w:val="24"/>
        </w:rPr>
        <w:t xml:space="preserve"> Hukum,</w:t>
      </w:r>
      <w:r w:rsidR="00F75A65">
        <w:rPr>
          <w:rFonts w:ascii="Times New Roman" w:hAnsi="Times New Roman" w:cs="Times New Roman"/>
          <w:sz w:val="24"/>
          <w:szCs w:val="24"/>
        </w:rPr>
        <w:t xml:space="preserve"> </w:t>
      </w:r>
      <w:r w:rsidR="00197A13" w:rsidRPr="006D7116">
        <w:rPr>
          <w:rFonts w:ascii="Times New Roman" w:hAnsi="Times New Roman" w:cs="Times New Roman"/>
          <w:sz w:val="24"/>
          <w:szCs w:val="24"/>
        </w:rPr>
        <w:t>2</w:t>
      </w:r>
      <w:r w:rsidR="00F75A65">
        <w:rPr>
          <w:rFonts w:ascii="Times New Roman" w:hAnsi="Times New Roman" w:cs="Times New Roman"/>
          <w:sz w:val="24"/>
          <w:szCs w:val="24"/>
        </w:rPr>
        <w:t>(</w:t>
      </w:r>
      <w:r w:rsidR="00197A13" w:rsidRPr="006D7116">
        <w:rPr>
          <w:rFonts w:ascii="Times New Roman" w:hAnsi="Times New Roman" w:cs="Times New Roman"/>
          <w:sz w:val="24"/>
          <w:szCs w:val="24"/>
        </w:rPr>
        <w:t>2</w:t>
      </w:r>
      <w:r w:rsidR="00F75A65">
        <w:rPr>
          <w:rFonts w:ascii="Times New Roman" w:hAnsi="Times New Roman" w:cs="Times New Roman"/>
          <w:sz w:val="24"/>
          <w:szCs w:val="24"/>
        </w:rPr>
        <w:t>)</w:t>
      </w:r>
      <w:r w:rsidR="005B4FE7" w:rsidRPr="006D7116">
        <w:rPr>
          <w:rFonts w:ascii="Times New Roman" w:hAnsi="Times New Roman" w:cs="Times New Roman"/>
          <w:sz w:val="24"/>
          <w:szCs w:val="24"/>
        </w:rPr>
        <w:t>.</w:t>
      </w:r>
    </w:p>
    <w:p w14:paraId="48F4BB98" w14:textId="77777777" w:rsidR="005B4FE7" w:rsidRPr="006D7116" w:rsidRDefault="005B4FE7" w:rsidP="006D7116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ABC87AA" w14:textId="7F5D4E06" w:rsidR="00F67EEF" w:rsidRPr="006D7116" w:rsidRDefault="000B6349" w:rsidP="006D71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</w:p>
    <w:p w14:paraId="5AD06471" w14:textId="488D18F0" w:rsidR="000F5B37" w:rsidRPr="006D7116" w:rsidRDefault="00FF5D9E" w:rsidP="006D7116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116">
        <w:rPr>
          <w:rFonts w:ascii="Times New Roman" w:hAnsi="Times New Roman" w:cs="Times New Roman"/>
          <w:sz w:val="24"/>
          <w:szCs w:val="24"/>
        </w:rPr>
        <w:t>Yuningsih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="000F5B37" w:rsidRPr="006D7116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="000F5B37" w:rsidRPr="006D7116">
        <w:rPr>
          <w:rFonts w:ascii="Times New Roman" w:hAnsi="Times New Roman" w:cs="Times New Roman"/>
          <w:sz w:val="24"/>
          <w:szCs w:val="24"/>
        </w:rPr>
        <w:t>Nielhan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="000F5B37" w:rsidRPr="006D711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F5B37" w:rsidRPr="006D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Pelaksanaan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Perjanjian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Pembiayaan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Konsumen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Kendaraan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Bermotor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Roda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Empat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Pt. Astra Credit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Compranies</w:t>
      </w:r>
      <w:proofErr w:type="spellEnd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 xml:space="preserve"> di Kota </w:t>
      </w:r>
      <w:proofErr w:type="spellStart"/>
      <w:r w:rsidR="000F5B37" w:rsidRPr="006D7116">
        <w:rPr>
          <w:rFonts w:ascii="Times New Roman" w:hAnsi="Times New Roman" w:cs="Times New Roman"/>
          <w:i/>
          <w:iCs/>
          <w:sz w:val="24"/>
          <w:szCs w:val="24"/>
        </w:rPr>
        <w:t>Pekanbaru</w:t>
      </w:r>
      <w:proofErr w:type="spellEnd"/>
      <w:r w:rsidR="00F75A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F5B37" w:rsidRPr="006D7116">
        <w:rPr>
          <w:rFonts w:ascii="Times New Roman" w:hAnsi="Times New Roman" w:cs="Times New Roman"/>
          <w:sz w:val="24"/>
          <w:szCs w:val="24"/>
        </w:rPr>
        <w:t xml:space="preserve"> </w:t>
      </w:r>
      <w:r w:rsidR="00F75A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5A6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75A65">
        <w:rPr>
          <w:rFonts w:ascii="Times New Roman" w:hAnsi="Times New Roman" w:cs="Times New Roman"/>
          <w:sz w:val="24"/>
          <w:szCs w:val="24"/>
        </w:rPr>
        <w:t xml:space="preserve"> Sarjana: </w:t>
      </w:r>
      <w:r w:rsidR="000F5B37" w:rsidRPr="006D7116">
        <w:rPr>
          <w:rFonts w:ascii="Times New Roman" w:hAnsi="Times New Roman" w:cs="Times New Roman"/>
          <w:sz w:val="24"/>
          <w:szCs w:val="24"/>
        </w:rPr>
        <w:t xml:space="preserve">Universitas Islam Riau </w:t>
      </w:r>
      <w:proofErr w:type="spellStart"/>
      <w:r w:rsidR="000F5B37" w:rsidRPr="006D7116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="00F75A65">
        <w:rPr>
          <w:rFonts w:ascii="Times New Roman" w:hAnsi="Times New Roman" w:cs="Times New Roman"/>
          <w:sz w:val="24"/>
          <w:szCs w:val="24"/>
        </w:rPr>
        <w:t>)</w:t>
      </w:r>
      <w:r w:rsidR="007F0C37">
        <w:rPr>
          <w:rFonts w:ascii="Times New Roman" w:hAnsi="Times New Roman" w:cs="Times New Roman"/>
          <w:sz w:val="24"/>
          <w:szCs w:val="24"/>
        </w:rPr>
        <w:t>.</w:t>
      </w:r>
    </w:p>
    <w:p w14:paraId="5DB47AC4" w14:textId="77777777" w:rsidR="000F5B37" w:rsidRPr="006D7116" w:rsidRDefault="000F5B37" w:rsidP="006D7116">
      <w:pPr>
        <w:pStyle w:val="ListParagraph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50E2D5" w14:textId="77777777" w:rsidR="00197A13" w:rsidRPr="006D7116" w:rsidRDefault="00197A13" w:rsidP="006D7116">
      <w:pPr>
        <w:spacing w:line="360" w:lineRule="auto"/>
        <w:jc w:val="both"/>
        <w:rPr>
          <w:rFonts w:ascii="Times New Roman" w:hAnsi="Times New Roman" w:cs="Times New Roman"/>
        </w:rPr>
      </w:pPr>
    </w:p>
    <w:p w14:paraId="5E973097" w14:textId="77777777" w:rsidR="00197A13" w:rsidRPr="006D7116" w:rsidRDefault="00197A13" w:rsidP="006D71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D37FE" w14:textId="77777777" w:rsidR="00197A13" w:rsidRPr="006D7116" w:rsidRDefault="00197A13" w:rsidP="006D711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30169" w14:textId="77777777" w:rsidR="00197A13" w:rsidRPr="006D7116" w:rsidRDefault="00197A13" w:rsidP="006D71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7A13" w:rsidRPr="006D7116" w:rsidSect="00DE50BA">
      <w:type w:val="evenPage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629E" w14:textId="77777777" w:rsidR="005648C4" w:rsidRDefault="005648C4" w:rsidP="00376D0B">
      <w:pPr>
        <w:spacing w:after="0" w:line="240" w:lineRule="auto"/>
      </w:pPr>
      <w:r>
        <w:separator/>
      </w:r>
    </w:p>
  </w:endnote>
  <w:endnote w:type="continuationSeparator" w:id="0">
    <w:p w14:paraId="60768D53" w14:textId="77777777" w:rsidR="005648C4" w:rsidRDefault="005648C4" w:rsidP="0037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BECE" w14:textId="77777777" w:rsidR="005648C4" w:rsidRDefault="005648C4" w:rsidP="00376D0B">
      <w:pPr>
        <w:spacing w:after="0" w:line="240" w:lineRule="auto"/>
      </w:pPr>
      <w:r>
        <w:separator/>
      </w:r>
    </w:p>
  </w:footnote>
  <w:footnote w:type="continuationSeparator" w:id="0">
    <w:p w14:paraId="47F51555" w14:textId="77777777" w:rsidR="005648C4" w:rsidRDefault="005648C4" w:rsidP="00376D0B">
      <w:pPr>
        <w:spacing w:after="0" w:line="240" w:lineRule="auto"/>
      </w:pPr>
      <w:r>
        <w:continuationSeparator/>
      </w:r>
    </w:p>
  </w:footnote>
  <w:footnote w:id="1">
    <w:p w14:paraId="66CD9C00" w14:textId="56750C8A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62145375"/>
      <w:r w:rsidRPr="00410DEF">
        <w:rPr>
          <w:rFonts w:ascii="Times New Roman" w:hAnsi="Times New Roman" w:cs="Times New Roman"/>
          <w:sz w:val="18"/>
          <w:szCs w:val="18"/>
        </w:rPr>
        <w:t>Sunaryo</w:t>
      </w:r>
      <w:r w:rsidR="00634CD2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634CD2">
        <w:rPr>
          <w:rFonts w:ascii="Times New Roman" w:hAnsi="Times New Roman" w:cs="Times New Roman"/>
          <w:sz w:val="18"/>
          <w:szCs w:val="18"/>
        </w:rPr>
        <w:t>(</w:t>
      </w:r>
      <w:r w:rsidRPr="00410DEF">
        <w:rPr>
          <w:rFonts w:ascii="Times New Roman" w:hAnsi="Times New Roman" w:cs="Times New Roman"/>
          <w:sz w:val="18"/>
          <w:szCs w:val="18"/>
        </w:rPr>
        <w:t>2013</w:t>
      </w:r>
      <w:r w:rsidR="00634CD2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Hukum Lembaga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Pembiayaan</w:t>
      </w:r>
      <w:proofErr w:type="spellEnd"/>
      <w:r w:rsidR="00634CD2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634CD2">
        <w:rPr>
          <w:rFonts w:ascii="Times New Roman" w:hAnsi="Times New Roman" w:cs="Times New Roman"/>
          <w:sz w:val="18"/>
          <w:szCs w:val="18"/>
        </w:rPr>
        <w:t xml:space="preserve">Jakarta: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Sinar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Grafika</w:t>
      </w:r>
      <w:bookmarkEnd w:id="1"/>
      <w:proofErr w:type="spellEnd"/>
      <w:r w:rsidR="00634CD2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 95</w:t>
      </w:r>
    </w:p>
  </w:footnote>
  <w:footnote w:id="2">
    <w:p w14:paraId="78E6A0E3" w14:textId="77777777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Lihat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pasal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1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ayat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2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Peraturan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Otoritas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Jasa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Keuangan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47/POJK.05/2020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tentang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Perizinan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Usaha dan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Kelembagaan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Perusahaan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Pembiayaan</w:t>
      </w:r>
      <w:proofErr w:type="spellEnd"/>
    </w:p>
  </w:footnote>
  <w:footnote w:id="3">
    <w:p w14:paraId="42B70C17" w14:textId="636EEF0F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4CD2">
        <w:rPr>
          <w:rFonts w:ascii="Times New Roman" w:hAnsi="Times New Roman" w:cs="Times New Roman"/>
          <w:sz w:val="18"/>
          <w:szCs w:val="18"/>
        </w:rPr>
        <w:t>N</w:t>
      </w:r>
      <w:r w:rsidRPr="00410DEF">
        <w:rPr>
          <w:rFonts w:ascii="Times New Roman" w:hAnsi="Times New Roman" w:cs="Times New Roman"/>
          <w:sz w:val="18"/>
          <w:szCs w:val="18"/>
        </w:rPr>
        <w:t>asihin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>,</w:t>
      </w:r>
      <w:r w:rsidR="00634CD2">
        <w:rPr>
          <w:rFonts w:ascii="Times New Roman" w:hAnsi="Times New Roman" w:cs="Times New Roman"/>
          <w:sz w:val="18"/>
          <w:szCs w:val="18"/>
        </w:rPr>
        <w:t xml:space="preserve"> Miranda.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634CD2">
        <w:rPr>
          <w:rFonts w:ascii="Times New Roman" w:hAnsi="Times New Roman" w:cs="Times New Roman"/>
          <w:sz w:val="18"/>
          <w:szCs w:val="18"/>
        </w:rPr>
        <w:t>(</w:t>
      </w:r>
      <w:r w:rsidRPr="00410DEF">
        <w:rPr>
          <w:rFonts w:ascii="Times New Roman" w:hAnsi="Times New Roman" w:cs="Times New Roman"/>
          <w:sz w:val="18"/>
          <w:szCs w:val="18"/>
        </w:rPr>
        <w:t>2012</w:t>
      </w:r>
      <w:r w:rsidR="00634CD2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segala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hal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tentang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hukum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pembiayaan</w:t>
      </w:r>
      <w:proofErr w:type="spellEnd"/>
      <w:r w:rsidR="00634CD2">
        <w:rPr>
          <w:rFonts w:ascii="Times New Roman" w:hAnsi="Times New Roman" w:cs="Times New Roman"/>
          <w:sz w:val="18"/>
          <w:szCs w:val="18"/>
        </w:rPr>
        <w:t>. Yogyakarta: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buku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pintar</w:t>
      </w:r>
      <w:proofErr w:type="spellEnd"/>
      <w:r w:rsidR="00634CD2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21</w:t>
      </w:r>
    </w:p>
  </w:footnote>
  <w:footnote w:id="4">
    <w:p w14:paraId="0357B04A" w14:textId="77777777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Lihat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pasal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1 </w:t>
      </w:r>
      <w:bookmarkStart w:id="2" w:name="_Hlk162145808"/>
      <w:proofErr w:type="spellStart"/>
      <w:r w:rsidRPr="00410DEF">
        <w:rPr>
          <w:rFonts w:ascii="Times New Roman" w:hAnsi="Times New Roman" w:cs="Times New Roman"/>
          <w:sz w:val="18"/>
          <w:szCs w:val="18"/>
        </w:rPr>
        <w:t>Peraturan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Presiden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2009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tentang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Lembaga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Pembiayaan</w:t>
      </w:r>
      <w:bookmarkEnd w:id="2"/>
      <w:proofErr w:type="spellEnd"/>
    </w:p>
  </w:footnote>
  <w:footnote w:id="5">
    <w:p w14:paraId="5612C9DE" w14:textId="31D605FD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Sunaryo</w:t>
      </w:r>
      <w:r w:rsidR="00634CD2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>Op. Cit</w:t>
      </w:r>
      <w:r w:rsidR="00634CD2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99</w:t>
      </w:r>
    </w:p>
  </w:footnote>
  <w:footnote w:id="6">
    <w:p w14:paraId="29D73253" w14:textId="6CB92EA4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_Hlk162145652"/>
      <w:proofErr w:type="spellStart"/>
      <w:r w:rsidRPr="00410DEF">
        <w:rPr>
          <w:rFonts w:ascii="Times New Roman" w:hAnsi="Times New Roman" w:cs="Times New Roman"/>
          <w:sz w:val="18"/>
          <w:szCs w:val="18"/>
        </w:rPr>
        <w:t>Yuningsih</w:t>
      </w:r>
      <w:proofErr w:type="spellEnd"/>
      <w:r w:rsidR="00634CD2">
        <w:rPr>
          <w:rFonts w:ascii="Times New Roman" w:hAnsi="Times New Roman" w:cs="Times New Roman"/>
          <w:sz w:val="18"/>
          <w:szCs w:val="18"/>
        </w:rPr>
        <w:t xml:space="preserve">, Sri </w:t>
      </w:r>
      <w:proofErr w:type="spellStart"/>
      <w:r w:rsidR="00634CD2">
        <w:rPr>
          <w:rFonts w:ascii="Times New Roman" w:hAnsi="Times New Roman" w:cs="Times New Roman"/>
          <w:sz w:val="18"/>
          <w:szCs w:val="18"/>
        </w:rPr>
        <w:t>Nielhan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, </w:t>
      </w:r>
      <w:r w:rsidR="00634CD2">
        <w:rPr>
          <w:rFonts w:ascii="Times New Roman" w:hAnsi="Times New Roman" w:cs="Times New Roman"/>
          <w:sz w:val="18"/>
          <w:szCs w:val="18"/>
        </w:rPr>
        <w:t>(</w:t>
      </w:r>
      <w:r w:rsidRPr="00410DEF">
        <w:rPr>
          <w:rFonts w:ascii="Times New Roman" w:hAnsi="Times New Roman" w:cs="Times New Roman"/>
          <w:sz w:val="18"/>
          <w:szCs w:val="18"/>
        </w:rPr>
        <w:t>2019</w:t>
      </w:r>
      <w:r w:rsidR="00634CD2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Pelaksanaan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Perjanjian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Pembiayaan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Konsumen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Kendaraan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Bermotor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Roda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Empat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Pt. Astra Credit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Compranies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di Kota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Pekanbaru</w:t>
      </w:r>
      <w:proofErr w:type="spellEnd"/>
      <w:r w:rsidR="00634CD2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F75A65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="00F75A65">
        <w:rPr>
          <w:rFonts w:ascii="Times New Roman" w:hAnsi="Times New Roman" w:cs="Times New Roman"/>
          <w:sz w:val="18"/>
          <w:szCs w:val="18"/>
        </w:rPr>
        <w:t>Skripsi</w:t>
      </w:r>
      <w:proofErr w:type="spellEnd"/>
      <w:r w:rsidR="00F75A65">
        <w:rPr>
          <w:rFonts w:ascii="Times New Roman" w:hAnsi="Times New Roman" w:cs="Times New Roman"/>
          <w:sz w:val="18"/>
          <w:szCs w:val="18"/>
        </w:rPr>
        <w:t xml:space="preserve"> Sarjana: </w:t>
      </w:r>
      <w:r w:rsidRPr="00410DEF">
        <w:rPr>
          <w:rFonts w:ascii="Times New Roman" w:hAnsi="Times New Roman" w:cs="Times New Roman"/>
          <w:sz w:val="18"/>
          <w:szCs w:val="18"/>
        </w:rPr>
        <w:t xml:space="preserve">Universitas Islam Riau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Pekanbaru</w:t>
      </w:r>
      <w:bookmarkEnd w:id="3"/>
      <w:proofErr w:type="spellEnd"/>
      <w:r w:rsidR="00F75A65">
        <w:rPr>
          <w:rFonts w:ascii="Times New Roman" w:hAnsi="Times New Roman" w:cs="Times New Roman"/>
          <w:sz w:val="18"/>
          <w:szCs w:val="18"/>
        </w:rPr>
        <w:t>)</w:t>
      </w:r>
      <w:r w:rsidR="00634CD2">
        <w:rPr>
          <w:rFonts w:ascii="Times New Roman" w:hAnsi="Times New Roman" w:cs="Times New Roman"/>
          <w:sz w:val="18"/>
          <w:szCs w:val="18"/>
        </w:rPr>
        <w:t>.</w:t>
      </w:r>
      <w:r w:rsidR="00F75A65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sz w:val="18"/>
          <w:szCs w:val="18"/>
        </w:rPr>
        <w:t>Hal. 4</w:t>
      </w:r>
    </w:p>
  </w:footnote>
  <w:footnote w:id="7">
    <w:p w14:paraId="3FB26A7A" w14:textId="079CDAC1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bookmarkStart w:id="4" w:name="_Hlk162145675"/>
      <w:bookmarkStart w:id="5" w:name="_Hlk166792073"/>
      <w:r w:rsidRPr="00410DEF">
        <w:rPr>
          <w:rFonts w:ascii="Times New Roman" w:hAnsi="Times New Roman" w:cs="Times New Roman"/>
          <w:sz w:val="18"/>
          <w:szCs w:val="18"/>
        </w:rPr>
        <w:t>Salim,</w:t>
      </w:r>
      <w:r w:rsidR="00634CD2">
        <w:rPr>
          <w:rFonts w:ascii="Times New Roman" w:hAnsi="Times New Roman" w:cs="Times New Roman"/>
          <w:sz w:val="18"/>
          <w:szCs w:val="18"/>
        </w:rPr>
        <w:t xml:space="preserve"> H.S. (</w:t>
      </w:r>
      <w:r w:rsidRPr="00410DEF">
        <w:rPr>
          <w:rFonts w:ascii="Times New Roman" w:hAnsi="Times New Roman" w:cs="Times New Roman"/>
          <w:sz w:val="18"/>
          <w:szCs w:val="18"/>
        </w:rPr>
        <w:t>2015</w:t>
      </w:r>
      <w:r w:rsidR="00634CD2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Hukum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Kontrak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Perjanjian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Pinjaman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dan Hibah</w:t>
      </w:r>
      <w:r w:rsidR="00634CD2">
        <w:rPr>
          <w:rFonts w:ascii="Times New Roman" w:hAnsi="Times New Roman" w:cs="Times New Roman"/>
          <w:sz w:val="18"/>
          <w:szCs w:val="18"/>
        </w:rPr>
        <w:t>. Jakarta;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Sinar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grafi</w:t>
      </w:r>
      <w:bookmarkEnd w:id="4"/>
      <w:r w:rsidR="00634CD2">
        <w:rPr>
          <w:rFonts w:ascii="Times New Roman" w:hAnsi="Times New Roman" w:cs="Times New Roman"/>
          <w:sz w:val="18"/>
          <w:szCs w:val="18"/>
        </w:rPr>
        <w:t>ka</w:t>
      </w:r>
      <w:proofErr w:type="spellEnd"/>
      <w:r w:rsidR="00634CD2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47</w:t>
      </w:r>
      <w:bookmarkEnd w:id="5"/>
    </w:p>
  </w:footnote>
  <w:footnote w:id="8">
    <w:p w14:paraId="3AAB995F" w14:textId="2BC0E8C6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B3351" w:rsidRPr="00410DEF">
        <w:rPr>
          <w:rFonts w:ascii="Times New Roman" w:hAnsi="Times New Roman" w:cs="Times New Roman"/>
          <w:i/>
          <w:iCs/>
          <w:sz w:val="18"/>
          <w:szCs w:val="18"/>
        </w:rPr>
        <w:t>I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>bid</w:t>
      </w:r>
    </w:p>
  </w:footnote>
  <w:footnote w:id="9">
    <w:p w14:paraId="64279D30" w14:textId="24C313E5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Lihat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B3351" w:rsidRPr="00410DEF">
        <w:rPr>
          <w:rFonts w:ascii="Times New Roman" w:hAnsi="Times New Roman" w:cs="Times New Roman"/>
          <w:sz w:val="18"/>
          <w:szCs w:val="18"/>
        </w:rPr>
        <w:t>p</w:t>
      </w:r>
      <w:r w:rsidRPr="00410DEF">
        <w:rPr>
          <w:rFonts w:ascii="Times New Roman" w:hAnsi="Times New Roman" w:cs="Times New Roman"/>
          <w:sz w:val="18"/>
          <w:szCs w:val="18"/>
        </w:rPr>
        <w:t>asal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5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Undang-Undang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No. 42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1999 </w:t>
      </w:r>
      <w:proofErr w:type="spellStart"/>
      <w:r w:rsidR="005B3351" w:rsidRPr="00410DEF">
        <w:rPr>
          <w:rFonts w:ascii="Times New Roman" w:hAnsi="Times New Roman" w:cs="Times New Roman"/>
          <w:sz w:val="18"/>
          <w:szCs w:val="18"/>
        </w:rPr>
        <w:t>t</w:t>
      </w:r>
      <w:r w:rsidRPr="00410DEF">
        <w:rPr>
          <w:rFonts w:ascii="Times New Roman" w:hAnsi="Times New Roman" w:cs="Times New Roman"/>
          <w:sz w:val="18"/>
          <w:szCs w:val="18"/>
        </w:rPr>
        <w:t>entang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Jaminan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Fidusia</w:t>
      </w:r>
      <w:proofErr w:type="spellEnd"/>
    </w:p>
  </w:footnote>
  <w:footnote w:id="10">
    <w:p w14:paraId="5EC625CF" w14:textId="2780C0E2" w:rsidR="00212412" w:rsidRPr="00410DEF" w:rsidRDefault="00212412" w:rsidP="005B33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F0C37">
        <w:rPr>
          <w:rFonts w:ascii="Times New Roman" w:hAnsi="Times New Roman" w:cs="Times New Roman"/>
          <w:sz w:val="18"/>
          <w:szCs w:val="18"/>
        </w:rPr>
        <w:t>Subagiyo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 xml:space="preserve">, </w:t>
      </w:r>
      <w:r w:rsidRPr="00410DEF">
        <w:rPr>
          <w:rFonts w:ascii="Times New Roman" w:hAnsi="Times New Roman" w:cs="Times New Roman"/>
          <w:sz w:val="18"/>
          <w:szCs w:val="18"/>
        </w:rPr>
        <w:t>Dwi Tat</w:t>
      </w:r>
      <w:r w:rsidR="007F0C37">
        <w:rPr>
          <w:rFonts w:ascii="Times New Roman" w:hAnsi="Times New Roman" w:cs="Times New Roman"/>
          <w:sz w:val="18"/>
          <w:szCs w:val="18"/>
        </w:rPr>
        <w:t>ak.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>(</w:t>
      </w:r>
      <w:r w:rsidRPr="00410DEF">
        <w:rPr>
          <w:rFonts w:ascii="Times New Roman" w:hAnsi="Times New Roman" w:cs="Times New Roman"/>
          <w:sz w:val="18"/>
          <w:szCs w:val="18"/>
        </w:rPr>
        <w:t>2018</w:t>
      </w:r>
      <w:r w:rsidR="007F0C37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Hukum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Jaminan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Dalam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Presfektif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Undang-Undang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Jaminan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Fidusia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Suatu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Pengantar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 xml:space="preserve">Surabaya: </w:t>
      </w:r>
      <w:r w:rsidRPr="00410DEF">
        <w:rPr>
          <w:rFonts w:ascii="Times New Roman" w:hAnsi="Times New Roman" w:cs="Times New Roman"/>
          <w:sz w:val="18"/>
          <w:szCs w:val="18"/>
        </w:rPr>
        <w:t>UWKS Press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299</w:t>
      </w:r>
    </w:p>
  </w:footnote>
  <w:footnote w:id="11">
    <w:p w14:paraId="4B3AF84D" w14:textId="11745C5F" w:rsidR="0019512C" w:rsidRPr="00410DEF" w:rsidRDefault="0019512C" w:rsidP="00410D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 xml:space="preserve">Ibrahim, </w:t>
      </w:r>
      <w:r w:rsidR="00410DEF" w:rsidRPr="00410DEF">
        <w:rPr>
          <w:rFonts w:ascii="Times New Roman" w:hAnsi="Times New Roman" w:cs="Times New Roman"/>
          <w:sz w:val="18"/>
          <w:szCs w:val="18"/>
        </w:rPr>
        <w:t>Muhammad Yusuf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="00410DEF"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>(</w:t>
      </w:r>
      <w:r w:rsidR="00410DEF" w:rsidRPr="00410DEF">
        <w:rPr>
          <w:rFonts w:ascii="Times New Roman" w:hAnsi="Times New Roman" w:cs="Times New Roman"/>
          <w:sz w:val="18"/>
          <w:szCs w:val="18"/>
        </w:rPr>
        <w:t>2023</w:t>
      </w:r>
      <w:r w:rsidR="007F0C37">
        <w:rPr>
          <w:rFonts w:ascii="Times New Roman" w:hAnsi="Times New Roman" w:cs="Times New Roman"/>
          <w:sz w:val="18"/>
          <w:szCs w:val="18"/>
        </w:rPr>
        <w:t>).</w:t>
      </w:r>
      <w:r w:rsidR="00410DEF"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10DEF" w:rsidRPr="00410DEF">
        <w:rPr>
          <w:rFonts w:ascii="Times New Roman" w:hAnsi="Times New Roman" w:cs="Times New Roman"/>
          <w:i/>
          <w:iCs/>
          <w:sz w:val="18"/>
          <w:szCs w:val="18"/>
        </w:rPr>
        <w:t>Karakteristik</w:t>
      </w:r>
      <w:proofErr w:type="spellEnd"/>
      <w:r w:rsidR="00410DEF"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Rahasia </w:t>
      </w:r>
      <w:proofErr w:type="spellStart"/>
      <w:r w:rsidR="00410DEF" w:rsidRPr="00410DEF">
        <w:rPr>
          <w:rFonts w:ascii="Times New Roman" w:hAnsi="Times New Roman" w:cs="Times New Roman"/>
          <w:i/>
          <w:iCs/>
          <w:sz w:val="18"/>
          <w:szCs w:val="18"/>
        </w:rPr>
        <w:t>Dagang</w:t>
      </w:r>
      <w:proofErr w:type="spellEnd"/>
      <w:r w:rsidR="00410DEF"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Sebagai Hak </w:t>
      </w:r>
      <w:proofErr w:type="spellStart"/>
      <w:r w:rsidR="00410DEF" w:rsidRPr="00410DEF">
        <w:rPr>
          <w:rFonts w:ascii="Times New Roman" w:hAnsi="Times New Roman" w:cs="Times New Roman"/>
          <w:i/>
          <w:iCs/>
          <w:sz w:val="18"/>
          <w:szCs w:val="18"/>
        </w:rPr>
        <w:t>Kebendaan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7F0C37">
        <w:rPr>
          <w:rFonts w:ascii="Times New Roman" w:hAnsi="Times New Roman" w:cs="Times New Roman"/>
          <w:sz w:val="18"/>
          <w:szCs w:val="18"/>
        </w:rPr>
        <w:t>Situbondo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:</w:t>
      </w:r>
      <w:r w:rsidR="00410DEF"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10DEF" w:rsidRPr="00410DEF">
        <w:rPr>
          <w:rFonts w:ascii="Times New Roman" w:hAnsi="Times New Roman" w:cs="Times New Roman"/>
          <w:sz w:val="18"/>
          <w:szCs w:val="18"/>
        </w:rPr>
        <w:t>Bahlish</w:t>
      </w:r>
      <w:proofErr w:type="spellEnd"/>
      <w:r w:rsidR="00410DEF" w:rsidRPr="00410DEF">
        <w:rPr>
          <w:rFonts w:ascii="Times New Roman" w:hAnsi="Times New Roman" w:cs="Times New Roman"/>
          <w:sz w:val="18"/>
          <w:szCs w:val="18"/>
        </w:rPr>
        <w:t xml:space="preserve"> Publishing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="00410DEF"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sz w:val="18"/>
          <w:szCs w:val="18"/>
        </w:rPr>
        <w:t>Hal. 248-249</w:t>
      </w:r>
    </w:p>
  </w:footnote>
  <w:footnote w:id="12">
    <w:p w14:paraId="3054719F" w14:textId="77777777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Pr="00410DEF">
        <w:rPr>
          <w:rFonts w:ascii="Times New Roman" w:hAnsi="Times New Roman" w:cs="Times New Roman"/>
          <w:sz w:val="18"/>
          <w:szCs w:val="18"/>
        </w:rPr>
        <w:t>, Hal. 249</w:t>
      </w:r>
    </w:p>
  </w:footnote>
  <w:footnote w:id="13">
    <w:p w14:paraId="3297BDD3" w14:textId="65622ECC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 w:rsidRPr="00410DEF">
        <w:rPr>
          <w:rFonts w:ascii="Times New Roman" w:hAnsi="Times New Roman" w:cs="Times New Roman"/>
          <w:sz w:val="18"/>
          <w:szCs w:val="18"/>
        </w:rPr>
        <w:t>Nugraha</w:t>
      </w:r>
      <w:r w:rsidR="007F0C37">
        <w:rPr>
          <w:rFonts w:ascii="Times New Roman" w:hAnsi="Times New Roman" w:cs="Times New Roman"/>
          <w:sz w:val="18"/>
          <w:szCs w:val="18"/>
        </w:rPr>
        <w:t>,</w:t>
      </w:r>
      <w:r w:rsidR="007F0C37"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Sigit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Nurhadi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., &amp;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 w:rsidRPr="00410DEF">
        <w:rPr>
          <w:rFonts w:ascii="Times New Roman" w:hAnsi="Times New Roman" w:cs="Times New Roman"/>
          <w:sz w:val="18"/>
          <w:szCs w:val="18"/>
        </w:rPr>
        <w:t>Rahmawati</w:t>
      </w:r>
      <w:r w:rsidR="007F0C3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Nurlaili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>(</w:t>
      </w:r>
      <w:r w:rsidRPr="00410DEF">
        <w:rPr>
          <w:rFonts w:ascii="Times New Roman" w:hAnsi="Times New Roman" w:cs="Times New Roman"/>
          <w:sz w:val="18"/>
          <w:szCs w:val="18"/>
        </w:rPr>
        <w:t>2021</w:t>
      </w:r>
      <w:r w:rsidR="007F0C37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Ciderai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Janji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wanprestasi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dalam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Perjanjian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Fidusia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Berdasarkan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Pasal 15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ayat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(3) UU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42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Tahun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1999 Pasca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Putusan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Mahkamah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Konstitusi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18/PUU-XVII/2019 dan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Putusan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Mahkamah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Konstitusi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2/PUU-XIX/2021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Jurnal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Ilmu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Hukum</w:t>
      </w:r>
      <w:r w:rsidR="00F75A65">
        <w:rPr>
          <w:rFonts w:ascii="Times New Roman" w:hAnsi="Times New Roman" w:cs="Times New Roman"/>
          <w:sz w:val="18"/>
          <w:szCs w:val="18"/>
        </w:rPr>
        <w:t>, 2(2),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79-80</w:t>
      </w:r>
    </w:p>
  </w:footnote>
  <w:footnote w:id="14">
    <w:p w14:paraId="025A120F" w14:textId="02AA2D57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Nasokha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.,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>&amp;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F0C37" w:rsidRPr="00410DEF">
        <w:rPr>
          <w:rFonts w:ascii="Times New Roman" w:hAnsi="Times New Roman" w:cs="Times New Roman"/>
          <w:sz w:val="18"/>
          <w:szCs w:val="18"/>
        </w:rPr>
        <w:t>Vitayanty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,</w:t>
      </w:r>
      <w:r w:rsidR="007F0C37"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sz w:val="18"/>
          <w:szCs w:val="18"/>
        </w:rPr>
        <w:t>Ganis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>(</w:t>
      </w:r>
      <w:r w:rsidRPr="00410DEF">
        <w:rPr>
          <w:rFonts w:ascii="Times New Roman" w:hAnsi="Times New Roman" w:cs="Times New Roman"/>
          <w:sz w:val="18"/>
          <w:szCs w:val="18"/>
        </w:rPr>
        <w:t>2023</w:t>
      </w:r>
      <w:r w:rsidR="007F0C37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Eksekusi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Jaminan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Fidusia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Akibat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Debitur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Wanprestasi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7F0C37">
        <w:rPr>
          <w:rFonts w:ascii="Times New Roman" w:hAnsi="Times New Roman" w:cs="Times New Roman"/>
          <w:sz w:val="18"/>
          <w:szCs w:val="18"/>
        </w:rPr>
        <w:t>Pekalongan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:</w:t>
      </w:r>
      <w:r w:rsidRPr="00410DEF">
        <w:rPr>
          <w:rFonts w:ascii="Times New Roman" w:hAnsi="Times New Roman" w:cs="Times New Roman"/>
          <w:sz w:val="18"/>
          <w:szCs w:val="18"/>
        </w:rPr>
        <w:t xml:space="preserve"> Damera Press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79</w:t>
      </w:r>
    </w:p>
  </w:footnote>
  <w:footnote w:id="15">
    <w:p w14:paraId="54738B16" w14:textId="77777777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Salinan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putusan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18/PUU/-XVII/2019, Hal. 64</w:t>
      </w:r>
    </w:p>
  </w:footnote>
  <w:footnote w:id="16">
    <w:p w14:paraId="6FABA954" w14:textId="4604E9B0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Setiwan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>,</w:t>
      </w:r>
      <w:r w:rsidR="007F0C37">
        <w:rPr>
          <w:rFonts w:ascii="Times New Roman" w:hAnsi="Times New Roman" w:cs="Times New Roman"/>
          <w:sz w:val="18"/>
          <w:szCs w:val="18"/>
        </w:rPr>
        <w:t xml:space="preserve"> R.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>Loc</w:t>
      </w:r>
      <w:r w:rsidR="007F0C37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Cit</w:t>
      </w:r>
    </w:p>
  </w:footnote>
  <w:footnote w:id="17">
    <w:p w14:paraId="278BE04C" w14:textId="229E732C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Nasokha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.,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>&amp;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F0C37" w:rsidRPr="00410DEF">
        <w:rPr>
          <w:rFonts w:ascii="Times New Roman" w:hAnsi="Times New Roman" w:cs="Times New Roman"/>
          <w:sz w:val="18"/>
          <w:szCs w:val="18"/>
        </w:rPr>
        <w:t>Vitayanty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,</w:t>
      </w:r>
      <w:r w:rsidR="007F0C37"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sz w:val="18"/>
          <w:szCs w:val="18"/>
        </w:rPr>
        <w:t>Ganis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>Op. Cit</w:t>
      </w:r>
      <w:r w:rsidR="007F0C37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79</w:t>
      </w:r>
    </w:p>
  </w:footnote>
  <w:footnote w:id="18">
    <w:p w14:paraId="3C2882ED" w14:textId="77777777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Pr="00410DEF">
        <w:rPr>
          <w:rFonts w:ascii="Times New Roman" w:hAnsi="Times New Roman" w:cs="Times New Roman"/>
          <w:sz w:val="18"/>
          <w:szCs w:val="18"/>
        </w:rPr>
        <w:t>, Hal. 79-80</w:t>
      </w:r>
    </w:p>
  </w:footnote>
  <w:footnote w:id="19">
    <w:p w14:paraId="7933843A" w14:textId="33B52378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Sarwono</w:t>
      </w:r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="007F0C37">
        <w:rPr>
          <w:rFonts w:ascii="Times New Roman" w:hAnsi="Times New Roman" w:cs="Times New Roman"/>
          <w:sz w:val="18"/>
          <w:szCs w:val="18"/>
        </w:rPr>
        <w:t>(</w:t>
      </w:r>
      <w:r w:rsidRPr="00410DEF">
        <w:rPr>
          <w:rFonts w:ascii="Times New Roman" w:hAnsi="Times New Roman" w:cs="Times New Roman"/>
          <w:sz w:val="18"/>
          <w:szCs w:val="18"/>
        </w:rPr>
        <w:t>2011</w:t>
      </w:r>
      <w:r w:rsidR="007F0C37">
        <w:rPr>
          <w:rFonts w:ascii="Times New Roman" w:hAnsi="Times New Roman" w:cs="Times New Roman"/>
          <w:sz w:val="18"/>
          <w:szCs w:val="18"/>
        </w:rPr>
        <w:t>).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Hukum Acara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Perdata</w:t>
      </w:r>
      <w:proofErr w:type="spellEnd"/>
      <w:r w:rsidRPr="00410DEF">
        <w:rPr>
          <w:rFonts w:ascii="Times New Roman" w:hAnsi="Times New Roman" w:cs="Times New Roman"/>
          <w:i/>
          <w:iCs/>
          <w:sz w:val="18"/>
          <w:szCs w:val="18"/>
        </w:rPr>
        <w:t xml:space="preserve"> Teori dan </w:t>
      </w:r>
      <w:proofErr w:type="spellStart"/>
      <w:r w:rsidRPr="00410DEF">
        <w:rPr>
          <w:rFonts w:ascii="Times New Roman" w:hAnsi="Times New Roman" w:cs="Times New Roman"/>
          <w:i/>
          <w:iCs/>
          <w:sz w:val="18"/>
          <w:szCs w:val="18"/>
        </w:rPr>
        <w:t>Praktik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. Jakarta: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Sinar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Grafika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.</w:t>
      </w:r>
      <w:r w:rsidRPr="00410DEF">
        <w:rPr>
          <w:rFonts w:ascii="Times New Roman" w:hAnsi="Times New Roman" w:cs="Times New Roman"/>
          <w:sz w:val="18"/>
          <w:szCs w:val="18"/>
        </w:rPr>
        <w:t xml:space="preserve"> Hal. 304</w:t>
      </w:r>
    </w:p>
  </w:footnote>
  <w:footnote w:id="20">
    <w:p w14:paraId="4864A5DF" w14:textId="77777777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Salinan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putusan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18/PUU/-XVII/2019, Hal. 119-120</w:t>
      </w:r>
    </w:p>
  </w:footnote>
  <w:footnote w:id="21">
    <w:p w14:paraId="583C3F24" w14:textId="77777777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Salinan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putusan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18/PUU/-XVII/2019, Hal. 121-122</w:t>
      </w:r>
    </w:p>
  </w:footnote>
  <w:footnote w:id="22">
    <w:p w14:paraId="1A4F2DD5" w14:textId="77777777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Salinan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putusan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Nomor</w:t>
      </w:r>
      <w:proofErr w:type="spellEnd"/>
      <w:r w:rsidRPr="00410DEF">
        <w:rPr>
          <w:rFonts w:ascii="Times New Roman" w:hAnsi="Times New Roman" w:cs="Times New Roman"/>
          <w:sz w:val="18"/>
          <w:szCs w:val="18"/>
        </w:rPr>
        <w:t xml:space="preserve"> 18/PUU/-XVII/2019, Hal. 122</w:t>
      </w:r>
    </w:p>
  </w:footnote>
  <w:footnote w:id="23">
    <w:p w14:paraId="4D117200" w14:textId="63516E64" w:rsidR="0019512C" w:rsidRPr="00410DEF" w:rsidRDefault="0019512C" w:rsidP="0019512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410D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0DEF">
        <w:rPr>
          <w:rFonts w:ascii="Times New Roman" w:hAnsi="Times New Roman" w:cs="Times New Roman"/>
          <w:sz w:val="18"/>
          <w:szCs w:val="18"/>
        </w:rPr>
        <w:t>Setiwan</w:t>
      </w:r>
      <w:proofErr w:type="spellEnd"/>
      <w:r w:rsidR="007F0C37">
        <w:rPr>
          <w:rFonts w:ascii="Times New Roman" w:hAnsi="Times New Roman" w:cs="Times New Roman"/>
          <w:sz w:val="18"/>
          <w:szCs w:val="18"/>
        </w:rPr>
        <w:t>, R.</w:t>
      </w:r>
      <w:r w:rsidRPr="00410DEF">
        <w:rPr>
          <w:rFonts w:ascii="Times New Roman" w:hAnsi="Times New Roman" w:cs="Times New Roman"/>
          <w:sz w:val="18"/>
          <w:szCs w:val="18"/>
        </w:rPr>
        <w:t xml:space="preserve"> </w:t>
      </w:r>
      <w:r w:rsidRPr="00410DEF">
        <w:rPr>
          <w:rFonts w:ascii="Times New Roman" w:hAnsi="Times New Roman" w:cs="Times New Roman"/>
          <w:i/>
          <w:iCs/>
          <w:sz w:val="18"/>
          <w:szCs w:val="18"/>
        </w:rPr>
        <w:t>Loc. Cit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5DBC"/>
    <w:multiLevelType w:val="hybridMultilevel"/>
    <w:tmpl w:val="9134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45B2"/>
    <w:multiLevelType w:val="hybridMultilevel"/>
    <w:tmpl w:val="E9C4B79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C3344"/>
    <w:multiLevelType w:val="hybridMultilevel"/>
    <w:tmpl w:val="6D98C87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E4EE5"/>
    <w:multiLevelType w:val="hybridMultilevel"/>
    <w:tmpl w:val="52DE8F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63B0"/>
    <w:multiLevelType w:val="hybridMultilevel"/>
    <w:tmpl w:val="856AC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132A3"/>
    <w:multiLevelType w:val="hybridMultilevel"/>
    <w:tmpl w:val="9E662CD0"/>
    <w:lvl w:ilvl="0" w:tplc="56A0918E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09950">
    <w:abstractNumId w:val="1"/>
  </w:num>
  <w:num w:numId="2" w16cid:durableId="1160846708">
    <w:abstractNumId w:val="3"/>
  </w:num>
  <w:num w:numId="3" w16cid:durableId="902982918">
    <w:abstractNumId w:val="0"/>
  </w:num>
  <w:num w:numId="4" w16cid:durableId="590284967">
    <w:abstractNumId w:val="5"/>
  </w:num>
  <w:num w:numId="5" w16cid:durableId="639461444">
    <w:abstractNumId w:val="4"/>
  </w:num>
  <w:num w:numId="6" w16cid:durableId="22664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71"/>
    <w:rsid w:val="0000247D"/>
    <w:rsid w:val="0001009D"/>
    <w:rsid w:val="00010516"/>
    <w:rsid w:val="00013333"/>
    <w:rsid w:val="00023190"/>
    <w:rsid w:val="00025BC3"/>
    <w:rsid w:val="00034112"/>
    <w:rsid w:val="00041BDE"/>
    <w:rsid w:val="00044851"/>
    <w:rsid w:val="00053456"/>
    <w:rsid w:val="00056484"/>
    <w:rsid w:val="000634AC"/>
    <w:rsid w:val="000721D4"/>
    <w:rsid w:val="000744A8"/>
    <w:rsid w:val="00074896"/>
    <w:rsid w:val="00075624"/>
    <w:rsid w:val="000A4DFA"/>
    <w:rsid w:val="000A7A57"/>
    <w:rsid w:val="000B0D4F"/>
    <w:rsid w:val="000B6349"/>
    <w:rsid w:val="000C2AD1"/>
    <w:rsid w:val="000C6CD7"/>
    <w:rsid w:val="000D5F53"/>
    <w:rsid w:val="000F5B37"/>
    <w:rsid w:val="000F74BA"/>
    <w:rsid w:val="001001FB"/>
    <w:rsid w:val="001042AD"/>
    <w:rsid w:val="001060F5"/>
    <w:rsid w:val="00120337"/>
    <w:rsid w:val="00127545"/>
    <w:rsid w:val="001449D7"/>
    <w:rsid w:val="00150447"/>
    <w:rsid w:val="00175A39"/>
    <w:rsid w:val="001812FF"/>
    <w:rsid w:val="00184DC1"/>
    <w:rsid w:val="001852B7"/>
    <w:rsid w:val="0019512C"/>
    <w:rsid w:val="00197A13"/>
    <w:rsid w:val="001B4E0C"/>
    <w:rsid w:val="001D23AB"/>
    <w:rsid w:val="001D7746"/>
    <w:rsid w:val="001E3885"/>
    <w:rsid w:val="001E673C"/>
    <w:rsid w:val="00204227"/>
    <w:rsid w:val="00211689"/>
    <w:rsid w:val="00212412"/>
    <w:rsid w:val="00214DE3"/>
    <w:rsid w:val="00247DBB"/>
    <w:rsid w:val="00267CFF"/>
    <w:rsid w:val="00295959"/>
    <w:rsid w:val="002A694C"/>
    <w:rsid w:val="002A7888"/>
    <w:rsid w:val="002B0B22"/>
    <w:rsid w:val="002B3D19"/>
    <w:rsid w:val="002B5030"/>
    <w:rsid w:val="002D0462"/>
    <w:rsid w:val="002D2282"/>
    <w:rsid w:val="002D2A6E"/>
    <w:rsid w:val="002D490A"/>
    <w:rsid w:val="002E589A"/>
    <w:rsid w:val="002F44BC"/>
    <w:rsid w:val="00325301"/>
    <w:rsid w:val="00342FE9"/>
    <w:rsid w:val="00352AC9"/>
    <w:rsid w:val="00376D0B"/>
    <w:rsid w:val="0039159A"/>
    <w:rsid w:val="003A7329"/>
    <w:rsid w:val="003C29CD"/>
    <w:rsid w:val="003D24A6"/>
    <w:rsid w:val="003D31E4"/>
    <w:rsid w:val="003D60A4"/>
    <w:rsid w:val="003E4AF5"/>
    <w:rsid w:val="003F209C"/>
    <w:rsid w:val="003F530A"/>
    <w:rsid w:val="00403A8C"/>
    <w:rsid w:val="00410DEF"/>
    <w:rsid w:val="0041320E"/>
    <w:rsid w:val="00413902"/>
    <w:rsid w:val="00443A0F"/>
    <w:rsid w:val="0045569F"/>
    <w:rsid w:val="00467980"/>
    <w:rsid w:val="00480BAB"/>
    <w:rsid w:val="004854EA"/>
    <w:rsid w:val="004A487D"/>
    <w:rsid w:val="004B1ED2"/>
    <w:rsid w:val="004D37A7"/>
    <w:rsid w:val="004D3C94"/>
    <w:rsid w:val="004D7D4F"/>
    <w:rsid w:val="004F489C"/>
    <w:rsid w:val="005131FD"/>
    <w:rsid w:val="00520CEF"/>
    <w:rsid w:val="0052138F"/>
    <w:rsid w:val="00542562"/>
    <w:rsid w:val="00543D9B"/>
    <w:rsid w:val="00546664"/>
    <w:rsid w:val="005474CC"/>
    <w:rsid w:val="00557BB9"/>
    <w:rsid w:val="005648C4"/>
    <w:rsid w:val="00571628"/>
    <w:rsid w:val="00595B71"/>
    <w:rsid w:val="005A4032"/>
    <w:rsid w:val="005B2539"/>
    <w:rsid w:val="005B3351"/>
    <w:rsid w:val="005B4B6B"/>
    <w:rsid w:val="005B4FE7"/>
    <w:rsid w:val="005D3985"/>
    <w:rsid w:val="005F1784"/>
    <w:rsid w:val="005F4E10"/>
    <w:rsid w:val="00600D7A"/>
    <w:rsid w:val="00611BA1"/>
    <w:rsid w:val="00613E12"/>
    <w:rsid w:val="00621C27"/>
    <w:rsid w:val="00634CD2"/>
    <w:rsid w:val="00643A6B"/>
    <w:rsid w:val="00650144"/>
    <w:rsid w:val="00693367"/>
    <w:rsid w:val="006C2E50"/>
    <w:rsid w:val="006D3769"/>
    <w:rsid w:val="006D7116"/>
    <w:rsid w:val="006E2E77"/>
    <w:rsid w:val="006E43C8"/>
    <w:rsid w:val="006E537F"/>
    <w:rsid w:val="006E6B9A"/>
    <w:rsid w:val="00752669"/>
    <w:rsid w:val="007632F9"/>
    <w:rsid w:val="0078203E"/>
    <w:rsid w:val="007914CC"/>
    <w:rsid w:val="00796445"/>
    <w:rsid w:val="007A7866"/>
    <w:rsid w:val="007B7F20"/>
    <w:rsid w:val="007C46D3"/>
    <w:rsid w:val="007C670D"/>
    <w:rsid w:val="007C77C2"/>
    <w:rsid w:val="007F0C37"/>
    <w:rsid w:val="00806BF5"/>
    <w:rsid w:val="008208FC"/>
    <w:rsid w:val="00842B68"/>
    <w:rsid w:val="0086277E"/>
    <w:rsid w:val="0087719E"/>
    <w:rsid w:val="0088001E"/>
    <w:rsid w:val="00880C77"/>
    <w:rsid w:val="008846EB"/>
    <w:rsid w:val="008A2878"/>
    <w:rsid w:val="008B12BF"/>
    <w:rsid w:val="008F78CE"/>
    <w:rsid w:val="008F7AFA"/>
    <w:rsid w:val="008F7D9D"/>
    <w:rsid w:val="00902F38"/>
    <w:rsid w:val="00927589"/>
    <w:rsid w:val="00932300"/>
    <w:rsid w:val="00935AA5"/>
    <w:rsid w:val="009440FD"/>
    <w:rsid w:val="00960095"/>
    <w:rsid w:val="0096549D"/>
    <w:rsid w:val="00970648"/>
    <w:rsid w:val="00971378"/>
    <w:rsid w:val="009813B7"/>
    <w:rsid w:val="00995CE2"/>
    <w:rsid w:val="009A12B2"/>
    <w:rsid w:val="009B28BC"/>
    <w:rsid w:val="009B7346"/>
    <w:rsid w:val="009D3187"/>
    <w:rsid w:val="009D4191"/>
    <w:rsid w:val="009E0795"/>
    <w:rsid w:val="009E14E4"/>
    <w:rsid w:val="009F2471"/>
    <w:rsid w:val="009F2D44"/>
    <w:rsid w:val="009F4012"/>
    <w:rsid w:val="00A06811"/>
    <w:rsid w:val="00A0773D"/>
    <w:rsid w:val="00A21243"/>
    <w:rsid w:val="00A55057"/>
    <w:rsid w:val="00A84801"/>
    <w:rsid w:val="00A940C3"/>
    <w:rsid w:val="00AC7496"/>
    <w:rsid w:val="00AF18D1"/>
    <w:rsid w:val="00AF2CB6"/>
    <w:rsid w:val="00B01854"/>
    <w:rsid w:val="00B04060"/>
    <w:rsid w:val="00B11C76"/>
    <w:rsid w:val="00B22670"/>
    <w:rsid w:val="00B24F7F"/>
    <w:rsid w:val="00B41A1A"/>
    <w:rsid w:val="00B51697"/>
    <w:rsid w:val="00B57E6C"/>
    <w:rsid w:val="00B6329E"/>
    <w:rsid w:val="00BC3B19"/>
    <w:rsid w:val="00BD75CE"/>
    <w:rsid w:val="00C23CE0"/>
    <w:rsid w:val="00C370C4"/>
    <w:rsid w:val="00C46CD0"/>
    <w:rsid w:val="00C6098A"/>
    <w:rsid w:val="00C64EB2"/>
    <w:rsid w:val="00C85FEB"/>
    <w:rsid w:val="00CA1AB4"/>
    <w:rsid w:val="00CC186F"/>
    <w:rsid w:val="00CD1F6D"/>
    <w:rsid w:val="00CE1454"/>
    <w:rsid w:val="00CE1966"/>
    <w:rsid w:val="00D02469"/>
    <w:rsid w:val="00D13FA5"/>
    <w:rsid w:val="00D50DE2"/>
    <w:rsid w:val="00D52AEC"/>
    <w:rsid w:val="00D666A0"/>
    <w:rsid w:val="00D83A84"/>
    <w:rsid w:val="00D86107"/>
    <w:rsid w:val="00D91BBE"/>
    <w:rsid w:val="00DA6B7F"/>
    <w:rsid w:val="00DD6746"/>
    <w:rsid w:val="00DD746C"/>
    <w:rsid w:val="00DE3B7F"/>
    <w:rsid w:val="00DE50BA"/>
    <w:rsid w:val="00DF1FD9"/>
    <w:rsid w:val="00E15160"/>
    <w:rsid w:val="00E36663"/>
    <w:rsid w:val="00E657F2"/>
    <w:rsid w:val="00E96433"/>
    <w:rsid w:val="00EB7C70"/>
    <w:rsid w:val="00EC0F64"/>
    <w:rsid w:val="00EC7317"/>
    <w:rsid w:val="00ED7A20"/>
    <w:rsid w:val="00EF1A5E"/>
    <w:rsid w:val="00F008BA"/>
    <w:rsid w:val="00F01F74"/>
    <w:rsid w:val="00F07834"/>
    <w:rsid w:val="00F23551"/>
    <w:rsid w:val="00F328DA"/>
    <w:rsid w:val="00F3471D"/>
    <w:rsid w:val="00F41AF6"/>
    <w:rsid w:val="00F50D9B"/>
    <w:rsid w:val="00F631D1"/>
    <w:rsid w:val="00F67B15"/>
    <w:rsid w:val="00F67EEF"/>
    <w:rsid w:val="00F73939"/>
    <w:rsid w:val="00F73EE8"/>
    <w:rsid w:val="00F75628"/>
    <w:rsid w:val="00F75A65"/>
    <w:rsid w:val="00F76BEB"/>
    <w:rsid w:val="00F8014B"/>
    <w:rsid w:val="00F802E0"/>
    <w:rsid w:val="00F922DF"/>
    <w:rsid w:val="00F9474B"/>
    <w:rsid w:val="00FB1540"/>
    <w:rsid w:val="00FE2232"/>
    <w:rsid w:val="00FE4D96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ACC2"/>
  <w15:chartTrackingRefBased/>
  <w15:docId w15:val="{A5B756EE-8AA4-41C8-819A-0ACEFF6F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76D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D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D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569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D02469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469"/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E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itya909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hammadyusufibrahim@unars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h_nurman@unar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E986-ACB8-4663-B284-DC59BBAE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12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Adhitya Rizky Pratama</cp:lastModifiedBy>
  <cp:revision>51</cp:revision>
  <cp:lastPrinted>2024-07-28T14:01:00Z</cp:lastPrinted>
  <dcterms:created xsi:type="dcterms:W3CDTF">2024-05-16T16:17:00Z</dcterms:created>
  <dcterms:modified xsi:type="dcterms:W3CDTF">2024-08-09T21:40:00Z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bdb81ef7-a1f0-3c8d-b822-51e208f8850c</vt:lpwstr>
  </property>
</Properties>
</file>